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left="5387"/>
        <w:jc w:val="center"/>
        <w:spacing w:before="86" w:after="0" w:line="192" w:lineRule="auto"/>
        <w:rPr>
          <w:rFonts w:ascii="Times New Roman" w:hAnsi="Times New Roman" w:eastAsia="+mn-ea"/>
          <w:color w:val="000000"/>
          <w:sz w:val="28"/>
          <w:szCs w:val="28"/>
        </w:rPr>
      </w:pPr>
      <w:r>
        <w:rPr>
          <w:rFonts w:ascii="Times New Roman" w:hAnsi="Times New Roman" w:eastAsia="+mn-ea"/>
          <w:color w:val="000000"/>
          <w:sz w:val="28"/>
          <w:szCs w:val="28"/>
        </w:rPr>
        <w:t xml:space="preserve">Утверждено</w:t>
      </w:r>
      <w:r>
        <w:rPr>
          <w:rFonts w:ascii="Times New Roman" w:hAnsi="Times New Roman" w:eastAsia="+mn-ea"/>
          <w:color w:val="000000"/>
          <w:sz w:val="28"/>
          <w:szCs w:val="28"/>
        </w:rPr>
      </w:r>
      <w:r>
        <w:rPr>
          <w:rFonts w:ascii="Times New Roman" w:hAnsi="Times New Roman" w:eastAsia="+mn-ea"/>
          <w:color w:val="000000"/>
          <w:sz w:val="28"/>
          <w:szCs w:val="28"/>
        </w:rPr>
      </w:r>
    </w:p>
    <w:p>
      <w:pPr>
        <w:pStyle w:val="886"/>
        <w:ind w:left="5387"/>
        <w:jc w:val="center"/>
        <w:spacing w:before="86" w:after="0" w:line="192" w:lineRule="auto"/>
        <w:rPr>
          <w:rFonts w:ascii="Times New Roman" w:hAnsi="Times New Roman" w:eastAsia="+mn-ea"/>
          <w:color w:val="000000"/>
          <w:sz w:val="28"/>
          <w:szCs w:val="28"/>
        </w:rPr>
      </w:pPr>
      <w:r>
        <w:rPr>
          <w:rFonts w:ascii="Times New Roman" w:hAnsi="Times New Roman" w:eastAsia="+mn-ea"/>
          <w:color w:val="000000"/>
          <w:sz w:val="28"/>
          <w:szCs w:val="28"/>
        </w:rPr>
        <w:t xml:space="preserve">Приказом Главного управления</w:t>
      </w:r>
      <w:r>
        <w:rPr>
          <w:rFonts w:ascii="Times New Roman" w:hAnsi="Times New Roman" w:eastAsia="+mn-ea"/>
          <w:color w:val="000000"/>
          <w:sz w:val="28"/>
          <w:szCs w:val="28"/>
        </w:rPr>
      </w:r>
      <w:r>
        <w:rPr>
          <w:rFonts w:ascii="Times New Roman" w:hAnsi="Times New Roman" w:eastAsia="+mn-ea"/>
          <w:color w:val="000000"/>
          <w:sz w:val="28"/>
          <w:szCs w:val="28"/>
        </w:rPr>
      </w:r>
    </w:p>
    <w:p>
      <w:pPr>
        <w:pStyle w:val="886"/>
        <w:ind w:left="5387"/>
        <w:jc w:val="center"/>
        <w:spacing w:before="86" w:after="0" w:line="192" w:lineRule="auto"/>
        <w:rPr>
          <w:rFonts w:ascii="Times New Roman" w:hAnsi="Times New Roman" w:eastAsia="+mn-ea"/>
          <w:color w:val="000000"/>
          <w:sz w:val="28"/>
          <w:szCs w:val="28"/>
        </w:rPr>
      </w:pPr>
      <w:r>
        <w:rPr>
          <w:rFonts w:ascii="Times New Roman" w:hAnsi="Times New Roman" w:eastAsia="+mn-ea"/>
          <w:color w:val="000000"/>
          <w:sz w:val="28"/>
          <w:szCs w:val="28"/>
        </w:rPr>
        <w:t xml:space="preserve">п</w:t>
      </w:r>
      <w:r>
        <w:rPr>
          <w:rFonts w:ascii="Times New Roman" w:hAnsi="Times New Roman" w:eastAsia="+mn-ea"/>
          <w:color w:val="000000"/>
          <w:sz w:val="28"/>
          <w:szCs w:val="28"/>
        </w:rPr>
        <w:t xml:space="preserve">о государственному надзору</w:t>
      </w:r>
      <w:r>
        <w:rPr>
          <w:rFonts w:ascii="Times New Roman" w:hAnsi="Times New Roman" w:eastAsia="+mn-ea"/>
          <w:color w:val="000000"/>
          <w:sz w:val="28"/>
          <w:szCs w:val="28"/>
        </w:rPr>
      </w:r>
      <w:r>
        <w:rPr>
          <w:rFonts w:ascii="Times New Roman" w:hAnsi="Times New Roman" w:eastAsia="+mn-ea"/>
          <w:color w:val="000000"/>
          <w:sz w:val="28"/>
          <w:szCs w:val="28"/>
        </w:rPr>
      </w:r>
    </w:p>
    <w:p>
      <w:pPr>
        <w:pStyle w:val="886"/>
        <w:ind w:left="5387"/>
        <w:jc w:val="center"/>
        <w:spacing w:before="86" w:after="0" w:line="192" w:lineRule="auto"/>
        <w:rPr>
          <w:rFonts w:ascii="Times New Roman" w:hAnsi="Times New Roman" w:eastAsia="+mn-ea"/>
          <w:color w:val="000000"/>
          <w:sz w:val="28"/>
          <w:szCs w:val="28"/>
        </w:rPr>
      </w:pPr>
      <w:r>
        <w:rPr>
          <w:rFonts w:ascii="Times New Roman" w:hAnsi="Times New Roman" w:eastAsia="+mn-ea"/>
          <w:color w:val="000000"/>
          <w:sz w:val="28"/>
          <w:szCs w:val="28"/>
        </w:rPr>
        <w:t xml:space="preserve">Удмуртской Республики</w:t>
      </w:r>
      <w:r>
        <w:rPr>
          <w:rFonts w:ascii="Times New Roman" w:hAnsi="Times New Roman" w:eastAsia="+mn-ea"/>
          <w:color w:val="000000"/>
          <w:sz w:val="28"/>
          <w:szCs w:val="28"/>
        </w:rPr>
      </w:r>
      <w:r>
        <w:rPr>
          <w:rFonts w:ascii="Times New Roman" w:hAnsi="Times New Roman" w:eastAsia="+mn-ea"/>
          <w:color w:val="000000"/>
          <w:sz w:val="28"/>
          <w:szCs w:val="28"/>
        </w:rPr>
      </w:r>
    </w:p>
    <w:p>
      <w:pPr>
        <w:pStyle w:val="886"/>
        <w:ind w:left="5387"/>
        <w:jc w:val="center"/>
        <w:spacing w:before="86" w:after="0" w:line="192" w:lineRule="auto"/>
        <w:rPr>
          <w:rFonts w:ascii="Times New Roman" w:hAnsi="Times New Roman" w:eastAsia="+mn-ea"/>
          <w:color w:val="000000"/>
          <w:sz w:val="28"/>
          <w:szCs w:val="28"/>
        </w:rPr>
      </w:pPr>
      <w:r>
        <w:rPr>
          <w:rFonts w:ascii="Times New Roman" w:hAnsi="Times New Roman" w:eastAsia="+mn-ea"/>
          <w:color w:val="000000"/>
          <w:sz w:val="28"/>
          <w:szCs w:val="28"/>
        </w:rPr>
        <w:t xml:space="preserve">от 14 марта 2024 №21</w:t>
      </w:r>
      <w:r>
        <w:rPr>
          <w:rFonts w:ascii="Times New Roman" w:hAnsi="Times New Roman" w:eastAsia="+mn-ea"/>
          <w:color w:val="000000"/>
          <w:sz w:val="28"/>
          <w:szCs w:val="28"/>
        </w:rPr>
      </w:r>
      <w:r>
        <w:rPr>
          <w:rFonts w:ascii="Times New Roman" w:hAnsi="Times New Roman" w:eastAsia="+mn-ea"/>
          <w:color w:val="000000"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Результаты правоприменительной практики </w:t>
      </w:r>
      <w:r>
        <w:rPr>
          <w:b/>
          <w:sz w:val="36"/>
          <w:szCs w:val="36"/>
        </w:rPr>
        <w:t xml:space="preserve">Главного управления по государственному</w:t>
      </w:r>
      <w:r>
        <w:rPr>
          <w:b/>
          <w:sz w:val="36"/>
          <w:szCs w:val="36"/>
        </w:rPr>
        <w:t xml:space="preserve"> надзору Удмуртской Республики </w:t>
      </w:r>
      <w:r>
        <w:rPr>
          <w:b/>
          <w:sz w:val="36"/>
          <w:szCs w:val="36"/>
        </w:rPr>
        <w:t xml:space="preserve">при осуществлении </w:t>
      </w:r>
      <w:r>
        <w:rPr>
          <w:b/>
          <w:sz w:val="36"/>
          <w:szCs w:val="36"/>
        </w:rPr>
        <w:t xml:space="preserve">регионального </w:t>
      </w:r>
      <w:r>
        <w:rPr>
          <w:b/>
          <w:sz w:val="36"/>
          <w:szCs w:val="36"/>
        </w:rPr>
        <w:t xml:space="preserve">государственного строительного надзора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90"/>
        <w:jc w:val="center"/>
        <w:spacing w:before="86" w:after="0" w:line="192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 20</w:t>
      </w:r>
      <w:r>
        <w:rPr>
          <w:b/>
          <w:sz w:val="36"/>
          <w:szCs w:val="36"/>
          <w:lang w:val="en-US"/>
        </w:rPr>
        <w:t xml:space="preserve">2</w:t>
      </w:r>
      <w:r>
        <w:rPr>
          <w:b/>
          <w:sz w:val="36"/>
          <w:szCs w:val="36"/>
        </w:rPr>
        <w:t xml:space="preserve">4 год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Ижевск, 2025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  <w:r>
        <w:rPr>
          <w:b/>
          <w:sz w:val="28"/>
          <w:szCs w:val="28"/>
          <w:lang w:val="en-US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center"/>
        <w:spacing w:before="86" w:after="0"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numPr>
          <w:ilvl w:val="0"/>
          <w:numId w:val="4"/>
        </w:numPr>
        <w:ind w:left="567" w:hanging="578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Введение__________________________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67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4"/>
        </w:numPr>
        <w:ind w:left="567" w:hanging="578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Ит</w:t>
      </w:r>
      <w:r>
        <w:rPr>
          <w:sz w:val="28"/>
          <w:szCs w:val="28"/>
        </w:rPr>
        <w:t xml:space="preserve">оги деятельности при осуществлении регионального</w:t>
      </w:r>
      <w:r>
        <w:rPr>
          <w:sz w:val="28"/>
          <w:szCs w:val="28"/>
        </w:rPr>
        <w:t xml:space="preserve"> государствен</w:t>
      </w:r>
      <w:r>
        <w:rPr>
          <w:sz w:val="28"/>
          <w:szCs w:val="28"/>
        </w:rPr>
        <w:t xml:space="preserve">ного строительн</w:t>
      </w:r>
      <w:r>
        <w:rPr>
          <w:sz w:val="28"/>
          <w:szCs w:val="28"/>
        </w:rPr>
        <w:t xml:space="preserve">ого надзора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____ 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67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4"/>
        </w:numPr>
        <w:ind w:left="567" w:hanging="578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Изменения законодательства в области государственного строительного надзора ______________________________      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  <w:t xml:space="preserve"> 6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67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4"/>
        </w:numPr>
        <w:ind w:left="567" w:hanging="578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Типовые н</w:t>
      </w:r>
      <w:r>
        <w:rPr>
          <w:sz w:val="28"/>
          <w:szCs w:val="28"/>
        </w:rPr>
        <w:t xml:space="preserve">арушения обязательных требований____________________</w:t>
      </w:r>
      <w:r>
        <w:rPr>
          <w:sz w:val="28"/>
          <w:szCs w:val="28"/>
        </w:rPr>
        <w:t xml:space="preserve">10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left="567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4"/>
        </w:numPr>
        <w:ind w:left="567" w:hanging="578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дминистративная практика_____________   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  <w:t xml:space="preserve">11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both"/>
        <w:spacing w:before="86" w:after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numPr>
          <w:ilvl w:val="0"/>
          <w:numId w:val="3"/>
        </w:numPr>
        <w:jc w:val="center"/>
        <w:spacing w:line="192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0"/>
        <w:jc w:val="both"/>
        <w:spacing w:before="86" w:beforeAutospacing="0" w:after="0" w:afterAutospacing="0" w:line="192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Главное управление по государственному надзору Удмуртской Республики (далее – Главное управление) является исполнительным органом государственной власти Удмуртской Республики.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Полномочия Главного управления по осуществлению регионального государственного строительного надзора определены Положением о Главном управлении, утвержденным постановлением Правительства Удмуртской Республики от 29 декабря 2017 года № 588.  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jc w:val="bot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Структурным подразделением Главного управления по осуществлению регионального государственного строительного надзора является   </w:t>
      </w:r>
      <w:r>
        <w:rPr>
          <w:rFonts w:ascii="Times New Roman" w:hAnsi="Times New Roman"/>
          <w:b/>
          <w:sz w:val="28"/>
          <w:szCs w:val="28"/>
        </w:rPr>
        <w:t xml:space="preserve">инспекция строительного надзора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6"/>
        <w:ind w:firstLine="708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обобщения правоприменительной практики </w:t>
      </w:r>
      <w:r>
        <w:rPr>
          <w:rFonts w:ascii="Times New Roman" w:hAnsi="Times New Roman"/>
          <w:sz w:val="28"/>
          <w:szCs w:val="28"/>
        </w:rPr>
        <w:t xml:space="preserve">Главного управление в рамках</w:t>
      </w:r>
      <w:r>
        <w:rPr>
          <w:rFonts w:ascii="Times New Roman" w:hAnsi="Times New Roman"/>
          <w:sz w:val="28"/>
          <w:szCs w:val="28"/>
        </w:rPr>
        <w:t xml:space="preserve"> регионального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государственного строительного надзора  являются: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8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единообразных подходов к применению </w:t>
      </w:r>
      <w:r>
        <w:rPr>
          <w:rFonts w:ascii="Times New Roman" w:hAnsi="Times New Roman"/>
          <w:sz w:val="28"/>
          <w:szCs w:val="28"/>
        </w:rPr>
        <w:t xml:space="preserve">Главным управлением</w:t>
      </w:r>
      <w:r>
        <w:rPr>
          <w:rFonts w:ascii="Times New Roman" w:hAnsi="Times New Roman"/>
          <w:sz w:val="28"/>
          <w:szCs w:val="28"/>
        </w:rPr>
        <w:t xml:space="preserve"> и его должностными лицами обязательных требований, законодательства Российской Федерации о государственном контроле (надзоре);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8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8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8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предложений об актуализации обязательных требований;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8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работе при осуществлении регионального государственного строительного надзора </w:t>
      </w:r>
      <w:r>
        <w:rPr>
          <w:rFonts w:ascii="Times New Roman" w:hAnsi="Times New Roman"/>
          <w:sz w:val="28"/>
          <w:szCs w:val="28"/>
        </w:rPr>
        <w:t xml:space="preserve">Главное управление</w:t>
      </w:r>
      <w:r>
        <w:rPr>
          <w:rFonts w:ascii="Times New Roman" w:hAnsi="Times New Roman"/>
          <w:sz w:val="28"/>
          <w:szCs w:val="28"/>
        </w:rPr>
        <w:t xml:space="preserve"> руководствуется: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7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Конституцией Российской Федерации;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6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5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Кодексом Российской Федерации об административных правонарушениях;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4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3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01.12.2021 № 2161 «Об утв</w:t>
      </w:r>
      <w:r>
        <w:rPr>
          <w:rFonts w:ascii="Times New Roman" w:hAnsi="Times New Roman"/>
          <w:sz w:val="28"/>
          <w:szCs w:val="28"/>
        </w:rPr>
        <w:t xml:space="preserve">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№ 1087 и признании утратившими силу некоторых актов Прави</w:t>
      </w:r>
      <w:r>
        <w:rPr>
          <w:rFonts w:ascii="Times New Roman" w:hAnsi="Times New Roman"/>
          <w:sz w:val="28"/>
          <w:szCs w:val="28"/>
        </w:rPr>
        <w:t xml:space="preserve">тельства Российской Федерации»;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2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</w:t>
      </w:r>
      <w:r>
        <w:rPr>
          <w:rFonts w:ascii="Times New Roman" w:hAnsi="Times New Roman"/>
          <w:sz w:val="28"/>
          <w:szCs w:val="28"/>
        </w:rPr>
        <w:t xml:space="preserve">ьства Российской Федерации от 10.03</w:t>
      </w:r>
      <w:r>
        <w:rPr>
          <w:rFonts w:ascii="Times New Roman" w:hAnsi="Times New Roman"/>
          <w:sz w:val="28"/>
          <w:szCs w:val="28"/>
        </w:rPr>
        <w:t xml:space="preserve">.2021 № 336 «Об особенностях организации и осуществления государственного контроля (надзора), муниципального контроля»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1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Положением о Главном управлении, утвержденным постановлением Правительства Удмуртской Республики от 29 декабря 2017 года № 588.  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10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</w:t>
      </w:r>
      <w:r>
        <w:rPr>
          <w:rFonts w:ascii="Times New Roman" w:hAnsi="Times New Roman"/>
          <w:sz w:val="28"/>
          <w:szCs w:val="28"/>
        </w:rPr>
        <w:t xml:space="preserve">ением Правительства Удмуртской Республики от 20</w:t>
      </w:r>
      <w:r>
        <w:rPr>
          <w:rFonts w:ascii="Times New Roman" w:hAnsi="Times New Roman"/>
          <w:sz w:val="28"/>
          <w:szCs w:val="28"/>
        </w:rPr>
        <w:t xml:space="preserve">.12.2021 № </w:t>
      </w:r>
      <w:r>
        <w:rPr>
          <w:rFonts w:ascii="Times New Roman" w:hAnsi="Times New Roman"/>
          <w:sz w:val="28"/>
          <w:szCs w:val="28"/>
        </w:rPr>
        <w:t xml:space="preserve">683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региональном государственном строительном надзоре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(далее – постановление № </w:t>
      </w:r>
      <w:r>
        <w:rPr>
          <w:rFonts w:ascii="Times New Roman" w:hAnsi="Times New Roman"/>
          <w:sz w:val="28"/>
          <w:szCs w:val="28"/>
        </w:rPr>
        <w:t xml:space="preserve">683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9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Минэкономразвития России от 31.03.2021 № 151 «О типовых формах документов, используемых контрольным (надзорным) органом».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 Государственный строительный надзор осуществляется: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 строительстве объектов капитального строительства, проектная документация которых подлежит экспертизе в соответствии со статьей</w:t>
      </w:r>
      <w:r>
        <w:rPr>
          <w:rFonts w:ascii="Times New Roman" w:hAnsi="Times New Roman"/>
          <w:sz w:val="28"/>
          <w:szCs w:val="28"/>
        </w:rPr>
        <w:t xml:space="preserve"> 49</w:t>
      </w:r>
      <w:r>
        <w:rPr>
          <w:rFonts w:ascii="Times New Roman" w:hAnsi="Times New Roman"/>
          <w:sz w:val="28"/>
          <w:szCs w:val="28"/>
        </w:rPr>
        <w:t xml:space="preserve"> ГрК РФ, за исключением случая, предусмотренного частью 3.3 статьи 49 ГрК РФ;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 реконс</w:t>
      </w:r>
      <w:r>
        <w:rPr>
          <w:rFonts w:ascii="Times New Roman" w:hAnsi="Times New Roman"/>
          <w:sz w:val="28"/>
          <w:szCs w:val="28"/>
        </w:rPr>
        <w:t xml:space="preserve">трукции объектов капитального строительства, в том числе при проведении работ по сохранению объектов культурного наследия, затрагивающих конструктивные и другие характеристики надежности и безопасности таких объектов, если проектная документация на осущест</w:t>
      </w:r>
      <w:r>
        <w:rPr>
          <w:rFonts w:ascii="Times New Roman" w:hAnsi="Times New Roman"/>
          <w:sz w:val="28"/>
          <w:szCs w:val="28"/>
        </w:rPr>
        <w:t xml:space="preserve">вление реконструкции объектов капитального строительства, в том числе указанных работ по сохранению объектов культурного наследия, подлежит экспертизе в соответствии со статьей 49 ГрК РФ, за исключением случая, предусмотренного частью 3.3 статьи 49 ГрК РФ.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Предметом государственного строительного надзора в отношении объектов, указанных в пункте 1 является соблюдение требований, установленных частью 3 статьи 54 ГрК РФ.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наличии оснований, предусмотренных пунктами 1, 3 </w:t>
      </w:r>
      <w:r>
        <w:rPr>
          <w:rFonts w:ascii="Times New Roman" w:hAnsi="Times New Roman"/>
          <w:sz w:val="28"/>
          <w:szCs w:val="28"/>
        </w:rPr>
        <w:t xml:space="preserve">- 5 части 1 статьи 57 Федерального закона от 31 июля 2020 года N 248-ФЗ "О государственном контроле (надзоре) и муниципальном контроле в Российской Федерации" государственный строительный надзор осуществляется в отношении объектов, не указанных в пункте 1.</w:t>
      </w:r>
      <w:r>
        <w:rPr>
          <w:rFonts w:ascii="Times New Roman" w:hAnsi="Times New Roman"/>
          <w:sz w:val="28"/>
          <w:szCs w:val="28"/>
        </w:rPr>
        <w:t xml:space="preserve"> В этом случае формирование программы проверок в соответствии с частью 14 статьи 54 ГрК РФ не осуществляется. Государственный строительный надзор осуществляется без взаимодействия с контролируемым лицом, в форме инспекционного визита или выездной проверки.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Предметом надзора в отношении объектов, указанных в  пункте 3 является соблюдение: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требован</w:t>
      </w:r>
      <w:r>
        <w:rPr>
          <w:rFonts w:ascii="Times New Roman" w:hAnsi="Times New Roman"/>
          <w:sz w:val="28"/>
          <w:szCs w:val="28"/>
        </w:rPr>
        <w:t xml:space="preserve">ий наличия разрешения на строительство и соответствия объекта капитального строительства параметрам, указанным в разрешении на строительство, если разрешение на строительство требуется для строительства или реконструкции объекта капитального строительства;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соответствия параметров объектов капитального строительства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</w:t>
      </w:r>
      <w:r>
        <w:rPr>
          <w:rFonts w:ascii="Times New Roman" w:hAnsi="Times New Roman"/>
          <w:sz w:val="28"/>
          <w:szCs w:val="28"/>
        </w:rPr>
        <w:t xml:space="preserve">ритории, и обязательным требованиям к параметрам объектов капитального строительства, установленным ГрК РФ, другими федеральными законами, если для строительства или реконструкции объекта капитального строительства не требуется разрешение на строительство.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Объектами регионального государственного строительного надзора являются: 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деятельность, действия (бездействие) застройщика, технического заказчика и лица, осуществляющего стр</w:t>
      </w:r>
      <w:r>
        <w:rPr>
          <w:rFonts w:ascii="Times New Roman" w:hAnsi="Times New Roman"/>
          <w:sz w:val="28"/>
          <w:szCs w:val="28"/>
        </w:rPr>
        <w:t xml:space="preserve">оительство, реконструкцию объекта капитального строительства (далее - контролируемые лица), по строительству, реконструкции объектов капитального строительства, указанных в части 11 статьи 54 ГрК РФ, в случаях, установленных частями 1 и 2 статьи 54 ГрК РФ;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объекты капитального строительства, которыми граждане и организации владеют и (или) пользуются и которые указаны в части 11 статьи 54 ГрК РФ, в случаях, установленных частями 1 и 2 статьи 54 ГрК РФ.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постановления № 683 региональный государственный строительный надзор осуществляется без проведения плановых контрольных (надзорных)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строительстве, реконструкции объектов капитального строительства, указанных в пункте 1, в отношении которых осуществляется государственный строительный надзор, не осуществляются следующие виды государственного контроля (надзора):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7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пожарный надзор;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7"/>
        </w:numPr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государственный санитарно-эпидемиологический контроль (надзор);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  государственный экологический контроль (надзор), за исключением федерального государственного экологического контроля (надзора) в отношении объектов, строительство, реконструкция которых осуществляются во внутренни</w:t>
      </w:r>
      <w:r>
        <w:rPr>
          <w:rFonts w:ascii="Times New Roman" w:hAnsi="Times New Roman"/>
          <w:sz w:val="28"/>
          <w:szCs w:val="28"/>
        </w:rPr>
        <w:t xml:space="preserve">х морских водах, в территориальном море Российской Федерации, в исключительной экономической зоне Российской Федерации, на континентальном шельфе Российской Федерации, в российской части (российском секторе) Каспийского моря, границах особо охраняемых прир</w:t>
      </w:r>
      <w:r>
        <w:rPr>
          <w:rFonts w:ascii="Times New Roman" w:hAnsi="Times New Roman"/>
          <w:sz w:val="28"/>
          <w:szCs w:val="28"/>
        </w:rPr>
        <w:t xml:space="preserve">одных территорий, на искусственных земельных участках на водных объектах, а также при строительстве, реконструкции объектов капитального строительства, относящихся в соответствии с законодательством в области охраны окружающей среды к объектам I категории.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Выдает заключения о соответствии построенного, рек</w:t>
      </w:r>
      <w:r>
        <w:rPr>
          <w:rFonts w:ascii="Times New Roman" w:hAnsi="Times New Roman"/>
          <w:sz w:val="28"/>
          <w:szCs w:val="28"/>
        </w:rPr>
        <w:t xml:space="preserve">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Возбуждает дела об административных правонарушениях, предусмотренных статьями КоАП РФ.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numPr>
          <w:ilvl w:val="0"/>
          <w:numId w:val="3"/>
        </w:num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деятельности Главного управления по государственному надзору Удмуртской Республики в области государствен</w:t>
      </w:r>
      <w:r>
        <w:rPr>
          <w:rFonts w:ascii="Times New Roman" w:hAnsi="Times New Roman"/>
          <w:b/>
          <w:sz w:val="28"/>
          <w:szCs w:val="28"/>
        </w:rPr>
        <w:t xml:space="preserve">ного строительного надзора</w:t>
      </w:r>
      <w:r>
        <w:rPr>
          <w:rFonts w:ascii="Times New Roman" w:hAnsi="Times New Roman"/>
          <w:b/>
          <w:sz w:val="28"/>
          <w:szCs w:val="28"/>
        </w:rPr>
        <w:t xml:space="preserve"> за 202</w:t>
      </w:r>
      <w:r>
        <w:rPr>
          <w:rFonts w:ascii="Times New Roman" w:hAnsi="Times New Roman"/>
          <w:b/>
          <w:sz w:val="28"/>
          <w:szCs w:val="28"/>
        </w:rPr>
        <w:t xml:space="preserve">4 год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6"/>
        <w:ind w:left="36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6"/>
        <w:ind w:firstLine="709"/>
        <w:jc w:val="both"/>
        <w:spacing w:after="0"/>
      </w:pPr>
      <w:r>
        <w:rPr>
          <w:rFonts w:ascii="Times New Roman" w:hAnsi="Times New Roman"/>
          <w:sz w:val="28"/>
          <w:szCs w:val="28"/>
          <w:lang w:val="en-US"/>
        </w:rPr>
        <w:t xml:space="preserve">В 2024 году на территории Удмуртской Республики осуществлялось строительство 426 объектов, подлежащих региональному государственному строительному надзору, из них на 157 объектах осуществлялось строительство многоквартирных жилых домов.</w:t>
      </w:r>
      <w:r/>
    </w:p>
    <w:p>
      <w:pPr>
        <w:pStyle w:val="886"/>
        <w:ind w:firstLine="709"/>
        <w:jc w:val="both"/>
        <w:spacing w:after="0"/>
      </w:pPr>
      <w:r>
        <w:rPr>
          <w:rFonts w:ascii="Times New Roman" w:hAnsi="Times New Roman"/>
          <w:sz w:val="28"/>
          <w:szCs w:val="28"/>
          <w:lang w:val="en-US"/>
        </w:rPr>
        <w:t xml:space="preserve">В</w:t>
      </w:r>
      <w:r>
        <w:rPr>
          <w:rFonts w:ascii="Times New Roman" w:hAnsi="Times New Roman"/>
          <w:sz w:val="28"/>
          <w:szCs w:val="28"/>
          <w:lang w:val="en-US"/>
        </w:rPr>
        <w:t xml:space="preserve"> рамках осуществления государственного строительного надзора  в 2024 году проведено 1111 контрольных надзорных мероприятий и 338 профилактических мероприятий, а именно: объявлено 44 предостережения о недопустимости нарушения обязательных требований, провед</w:t>
      </w:r>
      <w:r>
        <w:rPr>
          <w:rFonts w:ascii="Times New Roman" w:hAnsi="Times New Roman"/>
          <w:sz w:val="28"/>
          <w:szCs w:val="28"/>
          <w:lang w:val="en-US"/>
        </w:rPr>
        <w:t xml:space="preserve">ено 211 консультирований, проведено 83 обязательных профилактических визитов.</w:t>
      </w:r>
      <w:r/>
    </w:p>
    <w:p>
      <w:pPr>
        <w:pStyle w:val="886"/>
        <w:ind w:firstLine="709"/>
        <w:jc w:val="both"/>
        <w:spacing w:after="0"/>
      </w:pPr>
      <w:r>
        <w:rPr>
          <w:rFonts w:ascii="Times New Roman" w:hAnsi="Times New Roman"/>
          <w:sz w:val="28"/>
          <w:szCs w:val="28"/>
          <w:lang w:val="en-US"/>
        </w:rPr>
        <w:t xml:space="preserve">По результатам проведенных проверок выявлено 62 нарушения, выдано предписаний – 13, составлено 23 протокола об административных правонарушениях.</w:t>
      </w:r>
      <w:r/>
    </w:p>
    <w:p>
      <w:pPr>
        <w:pStyle w:val="886"/>
        <w:ind w:firstLine="709"/>
        <w:jc w:val="both"/>
        <w:spacing w:after="0"/>
      </w:pPr>
      <w:r>
        <w:rPr>
          <w:rFonts w:ascii="Times New Roman" w:hAnsi="Times New Roman"/>
          <w:sz w:val="28"/>
          <w:szCs w:val="28"/>
          <w:lang w:val="en-US"/>
        </w:rPr>
        <w:t xml:space="preserve">В</w:t>
      </w:r>
      <w:r>
        <w:rPr>
          <w:rFonts w:ascii="Times New Roman" w:hAnsi="Times New Roman"/>
          <w:sz w:val="28"/>
          <w:szCs w:val="28"/>
          <w:lang w:val="en-US"/>
        </w:rPr>
        <w:t xml:space="preserve">ыдано 99 заключений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</w:t>
      </w:r>
      <w:r>
        <w:rPr>
          <w:rFonts w:ascii="Times New Roman" w:hAnsi="Times New Roman"/>
          <w:sz w:val="28"/>
          <w:szCs w:val="28"/>
          <w:lang w:val="en-US"/>
        </w:rPr>
        <w:t xml:space="preserve">питального строительства приборами учета используемых энергетических ресурсов, в том числе:</w:t>
      </w:r>
      <w:r/>
    </w:p>
    <w:p>
      <w:pPr>
        <w:pStyle w:val="886"/>
        <w:ind w:firstLine="709"/>
        <w:jc w:val="both"/>
        <w:spacing w:after="0"/>
      </w:pPr>
      <w:r>
        <w:rPr>
          <w:rFonts w:ascii="Times New Roman" w:hAnsi="Times New Roman"/>
          <w:sz w:val="28"/>
          <w:szCs w:val="28"/>
          <w:lang w:val="en-US"/>
        </w:rPr>
        <w:t xml:space="preserve">51 - на многоквартирные жилые дома общей площадью 876 тыс. м2;</w:t>
      </w:r>
      <w:r/>
    </w:p>
    <w:p>
      <w:pPr>
        <w:pStyle w:val="886"/>
        <w:ind w:firstLine="709"/>
        <w:jc w:val="both"/>
        <w:spacing w:after="0"/>
      </w:pPr>
      <w:r>
        <w:rPr>
          <w:rFonts w:ascii="Times New Roman" w:hAnsi="Times New Roman"/>
          <w:sz w:val="28"/>
          <w:szCs w:val="28"/>
          <w:lang w:val="en-US"/>
        </w:rPr>
        <w:t xml:space="preserve">2 - на общеобразовательные школы (вместимостью 825 учащихся каждая); </w:t>
      </w:r>
      <w:r/>
    </w:p>
    <w:p>
      <w:pPr>
        <w:pStyle w:val="886"/>
        <w:ind w:firstLine="709"/>
        <w:jc w:val="both"/>
        <w:spacing w:after="0"/>
      </w:pPr>
      <w:r>
        <w:rPr>
          <w:rFonts w:ascii="Times New Roman" w:hAnsi="Times New Roman"/>
          <w:sz w:val="28"/>
          <w:szCs w:val="28"/>
          <w:lang w:val="en-US"/>
        </w:rPr>
        <w:t xml:space="preserve">23 - на объекты социального назначения (такие как: дома культуры, школы искусств, инженерная инфраструктура, мосты, дороги);</w:t>
      </w:r>
      <w:r/>
    </w:p>
    <w:p>
      <w:pPr>
        <w:pStyle w:val="886"/>
        <w:ind w:firstLine="709"/>
        <w:jc w:val="both"/>
        <w:spacing w:after="0"/>
      </w:pPr>
      <w:r>
        <w:rPr>
          <w:rFonts w:ascii="Times New Roman" w:hAnsi="Times New Roman"/>
          <w:sz w:val="28"/>
          <w:szCs w:val="28"/>
          <w:lang w:val="en-US"/>
        </w:rPr>
        <w:t xml:space="preserve">8 - на объекты производственного назначения (такие как: теплицы, цеха по переработке, производственные корпуса);</w:t>
      </w:r>
      <w:r/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14 - на объекты нефтегазового хозяйства.</w:t>
      </w:r>
      <w:r>
        <w:rPr>
          <w:rFonts w:ascii="Times New Roman" w:hAnsi="Times New Roman"/>
          <w:sz w:val="28"/>
          <w:szCs w:val="28"/>
          <w:lang w:val="en-US"/>
        </w:rPr>
      </w: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6"/>
        <w:numPr>
          <w:ilvl w:val="0"/>
          <w:numId w:val="6"/>
        </w:num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законодательства в области государственного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6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строительного надзора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6"/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Основным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окументом, регламентирующим деятельность регионального государственного строительного надзора, является Градостроительный Кодекс Российской Федерации.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градостроительный кодекс Российской Федерации были внесены изменения следующими федеральными законами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 22.07.2024 № 187-ФЗ, от 26.12.2024 № 486-ФЗ,   № 487-ФЗ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Дата вступления в силу: 01.03.2025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ff0000"/>
          <w:sz w:val="28"/>
          <w:szCs w:val="28"/>
        </w:rPr>
      </w:r>
    </w:p>
    <w:p>
      <w:pPr>
        <w:pStyle w:val="886"/>
        <w:ind w:firstLine="709"/>
        <w:jc w:val="both"/>
        <w:spacing w:after="0" w:line="240" w:lineRule="auto"/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Изменение части 1.3 статьи 48</w:t>
      </w:r>
      <w:r/>
    </w:p>
    <w:p>
      <w:pPr>
        <w:pStyle w:val="886"/>
        <w:ind w:firstLine="709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.3. В случае,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территории, заключенного в соответствии со статьей 70 настоящего Кодекса, предусмотрено размещение об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ъ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ектов капитального строительства в границах территории, подлежащей комплексному развитию, архитектурно-строительное проектирование осуществляется в соответствии с такой документацией. При этом подготовка проектной документации, рабочей документации для раз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частью 1.2 статьи 57.3 настоящего Кодекса градостроительного плана земельного участка.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886"/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(часть 1.3 введена Федеральным законом от 25.12.2023 N 627-ФЗ; в ред. Федерального закона от 26.12.2024 N 486-ФЗ)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2.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   Изменение пункта 1 части 7 статьи 51</w:t>
      </w:r>
      <w:r>
        <w:rPr>
          <w:rFonts w:ascii="Times New Roman" w:hAnsi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основании которой был образован указанный земельный участок и выдан градостроительный план земельного участка в случаях, предусмотренных частями 1.1 и 1.2 статьи 57.3 настоящего Кодекса, если иное не установлено частью 7.3 настоящей статьи;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Федеральных законов от 03.08.2018 N 341-ФЗ, от 02.08.2019 N 283-ФЗ, от 31.07.2020 N 254-ФЗ, от 26.12.2024 N 486-ФЗ).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3.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  Изменение пункта 10 части 7 статьи 51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0)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лючен такой договор, а в случае, если реализация решения о комплексном развитии территории осуществляется без заключения такого договора, - копия решения о комплексном развитии территории. При этом в случае строительства, реконструкции объектов капитальног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Федеральных законов от 25.12.2023 N 627-ФЗ, от 26.12.2024 N 486-ФЗ)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4.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 Изменение абзаца первого части 7.1 статьи 51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7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.1. Документы (их копии или сведения, содержащиеся в них), указанные в пунктах 1 - 4, 4.3, 5, 5.1, 9 и 10 части 7 настоящей статьи, запрашиваются органами, указанными в абзаце первом части 7 настоящей статьи, в государственных органах, органах местного сам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Федеральных законов от 03.07.2016 N 370-ФЗ, от 03.08.2018 N 342-ФЗ, от 02.08.2019 N 283-ФЗ, от 27.12.2019 N 472-ФЗ, от 26.12.2024 N 486-ФЗ)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5.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 Изменение абзаца первого части 11 статьи 51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 Уполномоченные на выдачу разрешений на строительство федеральный орган исполнительной власти, исполнительный орган субъекта Российской Федерации, орган местного самоуправления, Государственная корпорация по атомной энергии "Росатом" или Государственная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корпорация по космической деятельности "Роскосмос" в течение пяти рабочих дней со дня получения заявления о выдаче разрешения на строительство, за исключением случаев, предусмотренных частями 11.1 и 11.1-1 настоящей статьи: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Федеральных законов от 13.07.2015 N 216-ФЗ, от 30.12.2015 N 459-ФЗ, от 19.12.2016 N 445-ФЗ, от 03.08.2018 N 342-ФЗ, от 27.12.2019 N 472-ФЗ, от 08.08.2024 N 232-ФЗ, от 26.12.2024 N 486-ФЗ)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6.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Дополнение статьи 51 частью 11.1-1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1.1-1.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уполномоченные на выдачу разрешений на стро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ительство федеральный орган исполнительной власти, исполнительный орган субъекта Российской Федерации, орган местного самоуправления в течение пяти рабочих дней со дня получения заявления о выдаче разрешения на строительство: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1) проводят проверку наличия документов и сведений, необходимых для принятия решения о выдаче разрешения на строительство;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 проводят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настоящей статьи, в том числе очередности планируемого развития территории, предусмотренной прое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3) выдают разрешение на строительство или отказывают в выдаче такого разрешения с указанием причин отказа.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(часть 11.1-1 введена Федеральным законом от 26.12.2024 N 486-ФЗ)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7.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  Изменение части 12 статьи 51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2. Уполномоченные на выдачу разрешений на строительство федеральный орган исполнительной власти, исполнительный орган субъекта Российской Федерации, орган местного самоуправления, Государственная корпорация по атомной энергии "Росатом" или Государственная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орпорация по космической деятельности "Роскосмос" по заявлению застройщика могут выдать разрешение на отдельные этапы строительства, реконструкции объектов капитального строительства, а в случае, если их строительство, реконструкция планируются в границах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ти человека объектов коммунальной, транспортной, социальной инфраструктур, иных объектов.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Федеральных законов от 13.07.2015 N 216-ФЗ, от 03.08.2018 N 342-ФЗ, от 08.08.2024 N 232-ФЗ, от 26.12.2024 N 486-ФЗ)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b/>
          <w:bCs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8. Дополнение статьи 51 частью 13.1. См. текст новой редакции</w:t>
      </w:r>
      <w:r>
        <w:rPr>
          <w:b/>
          <w:bCs/>
        </w:rPr>
      </w:r>
      <w:r>
        <w:rPr>
          <w:b/>
          <w:bCs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13.1.  В  случае,  предусмотренном  частью  11.1-1  настоящей  статьи, наряду  с  основаниями  для  отказа в выдаче разрешения на строительство, предусмотренными  частью  13  настоящей  статьи,  основанием для отказа в выдаче  разрешения  на  строитель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ство  является  несоответствие проектной документации     очередности     планируемого     развития    территории, предусмотренной проектом планировки территории.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(часть 13.1 введена Федеральным законом от 26.12.2024 N 486-ФЗ)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9. Изменение части 15.2 статьи 51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5.2. Уполномоченные на выдачу разрешений на строительство федеральный орган исполнительной власти, Государственная корпорация по атомной энергии "Росатом", Государственная корпорация по космической деятельности "Роскосмос" до выдачи разрешения на строитель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тво в течение срока, указанного в части 11 или 11.1-1 настоящей статьи, обеспечивают включение сведений о таком разрешении в единую информационную систему, за исключением случаев, если документы, необходимые для выдачи разрешения на строительство, содержат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сведения, составляющие государственную тайну.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(часть 15.2 введена Федеральным законом от 19.12.2022 N 541-ФЗ; в ред. Федерального закона от 26.12.2024 N 486-ФЗ)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10.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 Изменение части 15.3 статьи 51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5.3. Уполномоченные на выдачу разрешений на строительство исполнительный орган субъекта Российской Федерации, орган местного самоуправления до выдачи разрешения на строительство в течение срока, указанного в части 11 или 11.1-1 настоящей статьи, обеспечива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ю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строительство, содержат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сведения, составляющие государственную тайну.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(часть 15.3 введена Федеральным законом от 19.12.2022 N 541-ФЗ; в ред. Федеральных законов от 08.08.2024 N 232-ФЗ, от 26.12.2024 N 486-ФЗ).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11. Дополнение статьи 51 частью 19.1. См. текст новой редакции</w:t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19.1.   В   случае,   если   строительство,   реконструкция   объектов капитального  строительства планируются в границах территории, подлежащей комплексному  развитию,  разрешение на строительство выдается на срок, не превышающий     предусмотренного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   проектом    планировки    территории максимального  срока  строительства,  реконструкции объектов капитального строительства.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(часть 19.1 введена Федеральным законом от 26.12.2024 N 486-ФЗ)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12.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Изменение пункта 7 части 21.15 статьи 51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7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 наличие у уполномоченных на выдачу разрешений на строительство федерального органа исполнительной власти, исполнительного органа субъекта Российской Федерации, органа местного самоуправления, Государственной корпорации по атомной энергии "Росатом" или Го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ударственной корпорации по космической деятельности "Роскосмос" информации о выявленном в рамках государственного строительного надзора, федерального государственного земельного контроля (надзора) (далее - государственный земельный надзор) или муниципально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оительного надзора об отсутствии извещения о начале данных работ, если направление такого извещения является обязательным в соответствии с требованиями части 5 статьи 52 настоящего Кодекса, в случае, если внесение изменений в разрешение на строительство св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зано с продлением срока действия разрешения на строительство. В этом случае уполномоченные на выдачу разрешений на строительство федеральный орган исполнительной власти, исполнительный орган субъекта Российской Федерации, орган местного самоуправления обяз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ны запросить такую информацию в соответствующих органе государственной власти или органе местного самоуправления, в том числе с использованием единой системы межведомственного электронного взаимодействия и подключаемых к ней региональных систем межведомств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енного электронного взаимодействия;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(п. 7 введен Федеральным законом от 03.08.2018 N 342-ФЗ; в ред. Федеральных законов от 02.08.2019 N 283-ФЗ, от 08.08.2024 N 232-ФЗ, от 26.12.2024 N 487-ФЗ).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13. Дополнение статьи 51.1 частями 16 - 17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16.  В  случаях,  предусмотренных  статьей  5  Федерального  закона "О строительстве   жилых   домов   по   договорам  строительного  подряда  с использованием  счетов  эскроу", уведомления, предусмотренные частями 1 и 14  настоящей  статьи,  могут  на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равляться  от  имени застройщика лицом, выполняющим  работы  по  строительству  объекта индивидуального жилищного строительства    на    основании   договора   строительного   подряда   с использованием  счета  эскроу, с приложением указанного в настоящей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ч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асти договора.  В  этих случаях доверенность от имени застройщика не требуется и   все  уведомления,  предусмотренные  настоящей  статьей,  направляются уполномоченными   на   выдачу  разрешений  на  строительство  федеральным органом  исполнительной  влас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и,  органом  исполнительной власти субъекта Российской  Федерации  или  органом местного самоуправления в адрес лица, выполняющего  работы  по  строительству объекта индивидуального жилищного строительства    на    основании   договора   строительного   по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дряда   с использованием счета эскроу.   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17.    При    строительстве    объектов    индивидуального   жилищного строительства  в  соответствии  с  Федеральным  законом  "О строительстве жилых  домов  по  договорам строительного подряда с использованием сче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ов эскроу"  уведомления,  предусмотренные настоящей статьей и направленные в отношении   таких   объектов   индивидуального   жилищного  строительства застройщикам  или  лицам,  выполняющим  работы  по строительству объектов индивидуального    жилищного  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троительства   на   основании   договоров строительного   подряда   с  использованием  счетов  эскроу,  размещаются уполномоченными   на   выдачу  разрешений  на  строительство  федеральным органом  исполнительной  власти,  органом  исполнительной власти с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убъекта Российской   Федерации  или  органом  местного  самоуправления  в  единой информационной  системе  жилищного  строительства,  указанной  в пункте 5 части 7.4 статьи 51 настоящего Кодекса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14. Дополнение статьи 52 частями 12 - 15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12.  Строительство  или  реконструкция здания или сооружения считаются завершенными со дня:    1)  получения  разрешения на ввод в эксплуатацию здания или сооружения в  случае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 если  для  строительства  или  реконструкции таких здания или сооружения требуется получение разрешения на строительство;    2)    получения    уведомления    о   соответствии   построенных   или реконструированных  объекта  индивидуального  жилищного ст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оительства или садового    дома   требованиям   законодательства   о   градостроительной деятельности,  за  исключением случаев, если строительство таких объектов капитального  строительства  осуществлялось  без  получения  уведомлений, предусмотренных ста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тьей 51.1 и частью 16 статьи 55 настоящего Кодекса.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13.  В  случае,  если  в соответствии с частью 17 статьи 51 настоящего Кодекса  для  строительства  или  реконструкции  здания или сооружения не требуются  получение  разрешения  на  строительство  и  (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ли)  подготовка проектной   документации,  строительство  или  реконструкция  здания  или сооружения  (помещений  или  машино-мест  в  таких здании или сооружении) считаются   завершенными   со   дня   осуществления  их  государственного кадастрового   уче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а.  Положения  настоящей  части  применяются  также  в отношении  жилого дома или садового дома, строительство или реконструкция которых   осуществлялись   без  получения  уведомления,  предусмотренного пунктом  2  части 12 настоящей статьи, при условии, ч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то строительство или реконструкция   указанных   объектов  без  получения  такого  уведомления допускаются федеральным законом.   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14.  Строительство,  реконструкция объектов капитального строительства не    могут    считаться    завершенными    при   несоб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людении   условий, предусмотренных частями 12 и 13 настоящей статьи.   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15.  Застройщик  или  иное  лицо,  имеющие  в  соответствии  с законом основания  для  приобретения  прав  на  здание, сооружение (помещения или машино-места  в  таких  здании, сооружен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и), для получения возможности их эксплуатации,  осуществления  государственного кадастрового учета и (или) государственной  регистрации  прав на такие здание, сооружение (помещения или машино-места в таких здании, сооружении) обязаны:    1)  подготовить  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направить  в уполномоченный орган или организацию, указанные  в  статье  55  настоящего  Кодекса, документы, необходимые для выдачи   разрешения   на   ввод   объекта  капитального  строительства  в эксплуатацию  (в  том  числе  документы,  необходимые  д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л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  осуществления государственного  кадастрового  учета и (или) государственной регистрации прав  на  здание,  сооружение (помещения или машино-места в таких здании, сооружении),  в  случае,  если  строительство осуществлялось на основании выданного разреше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ия на строительство;    2)  подготовить  и  направить  в  орган  регистрации  прав  документы, необходимые  для  осуществления  государственного  кадастрового  учета  и (или)  государственной  регистрации прав на здание, сооружение (помещения или  машино-м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еста  в  таких  здании,  сооружении),  в  случае,  если  для строительства  или  реконструкции таких здания, сооружения не требовалось получение разрешения на строительство.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15. Дополн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ение статьи 53 частью 2.2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2.2.  Законом  субъекта  Российской  Федерации  может быть установлена обязанность  органа  исполнительной  власти субъекта Российской Федерации или  подведомственного  ему государственного (бюджетного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или автономного) учреждения   проводить   строительный   контроль  в  отношении  отдельных объектов  капитального  строительства,  строительство  или  реконструкция которых   предусмотрены   утвержденными   органом  исполнительной  власти субъекта  Российс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ой  Федерации  инвестиционными программами организаций, осуществляющих  регулируемые  виды  деятельности  в сферах теплоснабжения (за   исключением   инвестиционных   программ,   которые  утверждаются  в соответствии     с     законодательством    Российск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ой    Федерации    об электроэнергетике), водоснабжения и водоотведения.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16. Дополнение статьи 55 частью 3.11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3.11.  Положения  частей  3.6  - 3.8 настоящ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й статьи в части согласия застройщика и (или) иного лица (иных лиц) на осуществление государственной регистрации их права собственности на реконструированные здание,  сооружение  и  (или) на расположенные в таких здании, сооружении помещени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   машино-места  и  в  части  осуществления  такой  регистрации применяются  только  в  случаях,  если в результате реконструкции здания, сооружения  созданы  новые  или  прекратили  существование учтенные ранее помещения  и (или) машино-места в таких зда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ии, сооружении. В случаях, не указанных  в  настоящей  части,  на  основании разрешения на ввод объекта капитального    строительства   в   эксплуатацию и иных документов, предусмотренных  Федеральным  законом  от 13 июля 2015 года N 218-ФЗ "О госу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арственной  регистрации  недвижимости", в порядке, предусмотренном частью 6 статьи 40  указанного Федерального закона, осуществляется государственный  кадастровый учет в связи с изменением характеристик здания,  сооружения  в  результате  их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реконструкции,  а также в связи с изменением   характеристик   помещений,   машино-мест   в  таких  здании, сооружении.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17. Изменение пункта 3 части 6 статьи 55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3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строительства, протяженности линейного объекта в соответствии с частью 6.2 настоящей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статьи;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(в ред. Федеральных законов от 13.07.2020 N 202-ФЗ, от 26.12.2024 N 487-ФЗ)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18. Изменение пункта 4 части 6 статьи 55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4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строительства, протяженности линейного объекта в соответствии с частью 6.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2 настоящей статьи;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(в ред. Федеральных законов от 03.08.2018 N 340-ФЗ, от 13.07.2020 N 202-ФЗ, от 26.12.2024 N 487-ФЗ)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19. Дополнение статьи 55 частями 22 - 23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22.  В  случаях,  предусмотренных  статьей  5  Федерального  закона "О строительстве   жилых   домов   по   договорам  строительного  подряда  с использованием  счетов  эскроу,  уведомление,  предусмотренное частью 16 настоящей   статьи,   может  напр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вляться  от  имени  застройщика  лицом, выполняющим  работы  по  строительству  объекта индивидуального жилищного строительства    на    основании   договора   строительного   подряда   с использованием   счета   эскроу,  с  приложением  наряду  с  докумен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ами, предусмотренными  частью  16  настоящей  статьи,  указанного  договора, а также    документа,    подтверждающего   приемку   застройщиком   объекта индивидуального  жилищного  строительства,  построенного в соответствии с указанным  договором  (переда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очного акта), подписанного обеими сторонами указанного  договора. В этих случаях доверенность от имени застройщика не требуется  и все уведомления, предусмотренные частью 19 настоящей статьи, направляются   уполномоченными  на  выдачу  разрешений  на  стро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тельство федеральным  органом исполнительной власти, органом исполнительной власти субъекта  Российской  Федерации  или  органом  местного  самоуправления в адрес  лица, выполняющего работы по строительству объекта индивидуального жилищного  строительства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на  основании  договора строительного подряда с использованием счета эскроу.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23.    При    строительстве    объектов    индивидуального   жилищного строительства  в  соответствии  с  Федеральным  законом  "О строительстве жилых  домов  по  договорам стр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оительного подряда с использованием счетов эскроу  уведомления,  предусмотренные настоящей статьей и направленные в отношении   таких   объектов   индивидуального   жилищного  строительства застройщикам  или  лицам,  выполняющим  работы  по строительству 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б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ъектов индивидуального    жилищного   строительства   на   основании   договоров строительного   подряда   с  использованием  счетов  эскроу,  размещаются уполномоченными   на   выдачу  разрешений  на  строительство  федеральным органом  исполнительной  вл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асти,  органом  исполнительной власти субъекта Российской   Федерации  или  органом  местного  самоуправления  в  единой информационной  системе  жилищного  строительства,  указанной  в пункте 5 части 2.2 настоящей статьи.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(части 22, 23 введены Федеральным законом от 22.07.2024 N 187-ФЗ)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20.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 Изменение части 1 статьи 55.24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Эксплуатация зданий, сооружений должна осуществляться в соответствии с их разрешенным использованием (назначением). Эксплуатация зданий, сооружений должна осуществляться с соблюдением целевого назначения и разрешенного использования земельных участков, 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 которых расположены такие здания, сооружения.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Федерального закона от 26.12.2024 N 487-ФЗ)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21. Изменение части 3 статьи 55.24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3. В случае, если для строительства, реконструкции объектов капитального строительства не требуется выдача разрешения на строительство, эксплуатация таких объектов допускается после окончания их строительства, реконструкции и возникновения прав на них.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Федерального закона от 26.12.2024 N 487-ФЗ).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22.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 Изменение части 4 статьи 57.3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4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В случае, если в соответствии с настоящим Кодексом, иными федеральными законами размещение объекта капитального строительства не допускается при отсутствии документации по планировке территории, выдача градостроительного плана земельного участка для архи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ектурно-строительного проектирования,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территории. При этом в отношении земельного участка, расположенного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в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границах территории, в отношении которой принято решение о комплексном развитии территории, выдача градостроительного плана земельного участка допускается только при наличии документации по планировке территории, утвержденной в соответствии с договором о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комплексном развитии территории (за исключением случаев, установленных нормативным правовым актом субъекта Российской Федерации).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Федеральных законов от 02.08.2019 N 283-ФЗ, от 30.12.2020 N 494-ФЗ, от 26.12.2024 N 486-ФЗ).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На основе изменений, внесенных Федеральными законами от 29.05.2023 N 191-ФЗ, от 04.08.2023 N 469-ФЗ, от 25.12.2023 N 622-ФЗ, N 653-ФЗ, от 08.08.2024 N 238-ФЗ, N 261-ФЗ, N 280-ФЗ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Дата вступления в силу: 01.09.2024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ind w:left="709" w:right="0" w:firstLine="0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Изменение части 1 статьи 48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Архитектурно-строительное проектирование осуществляется путем подготовки проектной документации, рабочей документации (если иное не предусмотрено частью 1.4 настоящей статьи), в том числе путем внесения в них изменений в соответствии с настоящим Кодексом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применительно к объектам капитального строительства и их частям, строящимся, реконструируемым в границах принадлежащего застройщику или иному правообладателю (которому при осуществлении бюджетных инвестиций в объекты капитального строительства государстве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ной (муниципальной) собственности органы государственной власти (государственные органы), Государственная корпорация по атомной энергии "Росатом", Государственная корпорация по космической деятельности "Роскосмос", органы управления государственными внебюд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ж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земельного участка, а также раздела п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роектной документации "Смета на капитальный ремонт объекта капитального строительства" при проведении капитального ремонта объекта капитального строительства в случаях, предусмотренных частью 12.2 настоящей статьи.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Федеральных законов от 13.07.2015 N 216-ФЗ, от 03.08.2018 N 342-ФЗ, от 27.06.2019 N 151-ФЗ, от 02.08.2019 N 283-ФЗ, от 01.07.2021 N 275-ФЗ, от 08.08.2024 N 280-ФЗ)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Дополнение статьи 48 частью 1.4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1.4. Правительством Российской Федерации могут быть установлены случаи, при которых для строительства, реконструкции объекта капитального строительства не требуется подготовка рабочей документации.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(часть 1.4 введена Федеральным законом от 08.08.2024 N 280-ФЗ)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Изменение части 11 статьи 48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 Подготовка проектной документации (за исключением проектной документации, указанной в пункте 2 части 1 статьи 48.2 настоящего Кодекса) осуществляется на основании задания застройщика или технического заказчика (при подготовке проектной документации на 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новании договора подряда на подготовку проектной документации), результатов инженерных изысканий, информации, указанной в градостроительном плане земельного участка, или в случае подготовки проектной документации линейного объекта на основании проекта план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ровки территории и проекта межевания территории либо в случае, предусмотренном частью 11.1 настоящей статьи, решения о подготовке документации по планировке территории (за исключением случаев, при которых для строительства, реконструкции линейного объекта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е требуется подготовка документации по планировке территории) в соответствии с требованиями технических регламентов, техническими условиями подключения (технологического присоединения), предусмотренными статьей 52.1 настоящего Кодекса, разрешением на откло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нение от предельных параметров разрешенного строительства, реконструкции объектов капитального строительства.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Федеральных законов от 31.12.2005 N 210-ФЗ, от 20.03.2011 N 41-ФЗ, от 28.11.2011 N 337-ФЗ, от 03.07.2016 N 372-ФЗ, от 03.07.2016 N 373-ФЗ, от 03.08.2018 N 342-ФЗ, от 27.12.2019 N 472-ФЗ, от 01.07.2021 N 276-ФЗ, от 08.08.2024 N 261-ФЗ)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Часть 1 статьи 48.2 - изложена в новой редакции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признана: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 проектная документация объекта капитального строительства,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строительства, при условии, что в отношении такого об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ъекта (за исключением объекта индивидуального жилищного строительства) получено разрешение на его ввод в эксплуатацию;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rPr>
          <w:b w:val="0"/>
          <w:bCs w:val="0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) проектная документация объекта капитального строительства, подготовленная в целях неоднократного применения при архитектурно-строительном проектировании объектов капитального строительства и получившая положительное заключение государственной экспертизы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проектной документации.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(часть 1 в ред. Федерального закона от 08.08.2024 N 261-ФЗ)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Дополнение статьи 48.2 частями 1.1 - 1.3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1.1. Функционально-технологическое, конструктивное, инженерно-техническое и иное решение, содержащееся в типовой проектной документации,  по решению  уполномоченного  Правительством  Российской Федерации федерального ор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гана исполнительной власти или подведомственного ему государственного (бюджетного или  автономного) учреждения может быть признано типовым проектным решением.   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1.2. Подготовка   проектной   документации   объекта   капитального строитель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ства, указанной в пункте 2 части 1 настоящей статьи, обеспечивается федеральными органами исполнительной власти, подведомственными им организациями, перечень которых определяется Правительством Российской Федерации.   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14:ligatures w14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highlight w:val="none"/>
          <w14:ligatures w14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1.3.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Для  подготовки  проектной  документации  объекта  капитального строительства,  указанной  в  пункте  2  части  1  настоящей  статьи,  не требуется  предоставление  документов, предусмотренных частью 6 статьи 48 настоящего Кодекса.</w:t>
      </w:r>
      <w:r>
        <w:rPr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highlight w:val="none"/>
          <w14:ligatures w14:val="none"/>
        </w:rPr>
      </w:pPr>
      <w:r>
        <w:rPr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(части 1.1-1.3 введены Федеральным законом от 08.08.2024 N 261-ФЗ)</w:t>
      </w:r>
      <w:r>
        <w:rPr>
          <w:highlight w:val="none"/>
        </w:rPr>
      </w:r>
      <w:r>
        <w:rPr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Изменение части 7 статьи 48.2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7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 Порядок признания проектной документации объекта капитального строительства типовой проектной документацией, порядок признания указанного в части 1.1 настоящей статьи решения типовым проектным решением, особенности признания проектной документации объект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 индивидуального жилищного строительства типовой проектной документацией, критерии, которым должны соответствовать типовая проектная документация, типовое проектное решение, сроки применения типовой проектной документации, типового проектного решения, поря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ок и условия их использования, в том числе порядок внесения в них изменений, основания для исключения сведений о них из единого государственного реестра заключений экспертизы проектной документации объектов капитального строительства, порядок подготовки ти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овой проектной документации, указанной в пункте 2 части 1 настоящей статьи, включая перечень документов, необходимых для ее подготовки, и особенности ее состава и содержания, устанавливаются Правительством Российской Федерации. Правительством Российской Фе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дерации могут быть установлены случаи обязательного использования типовой проектной документации.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(в ред. Федеральных законов от 14.07.2022 N 350-ФЗ, от 08.08.2024 N 261-ФЗ)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Дополнение статьи 49 частью 5.7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5.7. Особенности  проведения  государственной  экспертизы  проектной документации  объекта  капитального  строительства,  указанной в пункте 2 части  1  статьи  48.2 настоящего Кодекса, устанавливаются Правительством Российской Федерации.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(часть 5.7 введена Федеральным законом от 08.08.2024 N 261-ФЗ)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none"/>
        </w:rPr>
        <w:t xml:space="preserve">Изменение части 1.2 статьи 52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1.2. Строительство, реконструкция объектов капитального строительства осуществляются в соответствии с проектной документацией и рабочей документацией, если иное не предусмотрено частью 1.4 статьи 48 настоящего Кодекса.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(часть 1.2 введена Федеральным законом от 01.07.2021 N 275-ФЗ; в ред. Федерального закона от 08.08.2024 N 280-ФЗ)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 Федеральный закон от 31.07.2020 № 248-ФЗ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«О государственном контроле (надзоре) и муниципальном контроле в Российской Федерации» внесены значительные изменения в 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едакции от 28.12.2024</w:t>
      </w:r>
      <w: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(с изм. и доп., вступ. в силу с 01.06.2025)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Значительная часть изменений затронула расширение сферы применения мобильного приложения «Инспектор» (далее – МП «Инспектор»).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Теперь МП «Инспектор» приравнен к информационным системам государственного контроля (надзора), муниципального контроля и с его пом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ощью могут быть проведены многие виды КНМ и ПМ.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Определены новые критерии отнесения объектов контроля к категориям риска.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Один из них – отсутствие нарушений обязательных требований, выявленных по результатам проведения обязательных профилактических визитов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или КНМ, в течение определенного периода времени. Конкретный период времени, при котором отсутствие выявленных нарушений требований пожарной безопасности (например, в течение года или двух лет) на объекте может влиять на присвоенную категорию риска, будет у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становлен в дальнейших изменениях постановления Правительства Российской Федерации № 290.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Внесены изменения в периодичность проведений плановых КНМ.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Ранее для каждой категории риска Федеральным законом были установлены конкретная периодичность проведения пл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ановых КНМ. Теперь для объектов высокого риска введена возможность замены плановых КНМ плановыми профилактическими визитами. Периодичность проведения обязательных профилактических визитов для объектов значительного, среднего и умеренного риска будет определ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яться Правительством РФ.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Контролируемому лицу предоставлено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право отказать инспектору в доступе на объект или к документам, если на документе (решении о проведении КНМ) контрольного (надзорного) органа отсутствует QR-код, по которому можно перейти в единый реестр контрольных (надзорных) мероприятий (далее – ЕРКНМ) 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ознакомиться с информацией о КНМ.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Фактически, отсутствие такого QR-кода на бланке решения о проведении КНМ говорит о том, что такое решение не внесено в ЕРКНМ и, соответственно, незаконно (ч. 2 ст. 64 Федерального закона № 248-ФЗ). Исключением из этого пра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вила выступают случаи, когда для начала проведения КНМ инспектору не требуется вносить сведения в ЕРКНМ (в случаях проведения наблюдения за соблюдением обязательных требований, выездного обследования).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Расширен перечень того, какие действие инспектора или до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кументы необходимо обжаловать в досудебном порядке.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Появилась возможность обжаловать решение о проведении обязательного профилактического визита, акта и предписания, составленных по результатам обязательного профилактического визита, а также решений об отне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сении объекта к определенной категории риска и прочие решения надзорных органов.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Уменьшены сроки рассмотрения жалоб.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Срок рассмотрения жалобы, поданной в рамках досудебного обжалования, был уменьшен с 20 рабочих дней до 15 рабочих дней, а срок рассмотрения ж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алобы на отнесение объекта к определенной категории составит не более 5 рабочих дней.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Значительно изменены цели и подход к проведению профилактических визитов.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Теперь инспектор в ходе проведения профилактического визита имеет право проводить оценку уровня с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облюдения контролируемым лицом обязательных требований. Также все профилактические визиты были разделены на две группы: обязательный профилактический визит и профилактический визит по инициативе контролируемого лица.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Рейдовый осмотр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, наравне с инспекционным визитом или выездной проверкой, также может быть проведен посредством видео-конференц-связи или с использованием МП «Инспектор».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Правительством РФ по согласованию с Генеральной прокуратурой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РФ могут быть определены виды контроля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, в рамках которых КНМ с использованием мобильного приложения «Инспектор» допускается проводить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без предварительного согласования с органами прокуратуры.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Расширены основания для проведения контрольных (надзорных) меропр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иятий.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Среди прочих оснований – уклонение контролируемого лица от проведения обязательного профилактического визита.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Внесены изменения в порядок принятия решения по итогам рассмотрения сведений о причинении вреда (ущерба) или об угрозе причинения вреда (ущер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ба) охраняемым законом ценностям.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Решение о проведении КНМ может быть принято также при возникновении чрезвычайных ситуаций природного и (или) техногенного характера, эпидемий, эпизоотий; при поступлении сведений от органов дознания или следствия о выявленн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ых случаях оборота товаров или вещей, который осуществлялся с нарушением обязательных требований, а также в иных случаях.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Внесен ряд дополнений и уточнений по тексту многих статей, в том числе касающихся проведения КНМ и ПМ, а также контрольных надзорных дей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ствий.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Внеплановая документарная проверка теперь может проводиться без согласования с органами прокуратуры лишь по определенным основаниям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, когда как ранее проводилась без согласования с органами прокуратуры в любом случае.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Внесено дополнение, по которому в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предписании об устранении нарушений обязательных требований в обязательном порядке по каждому пункту должны содержаться рекомендации по устранению выявленного нарушения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и перечень сведений, которые должны быть представлены в качестве подтверждения устранен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ия выявленного нарушения (например, документы, фото- или видеоматериалы).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Для государственных и муниципальных учреждений предусмотрена возможность направления предписания в адрес учредителя объекта.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В случае выдачи предписания контролируемому лицу, его копи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я направляется в адрес учредителя.  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Введена возможность заключения между контрольным (надзорным) органом и контролируемым лицом соглашения о надлежащем устранении выявленных нарушений.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pacing w:after="0" w:line="276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Такое соглашение может быть заключено по согласованию с контрольным (над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зорным) органом и органами прокуратуры, при условии, что исполнение предписания требует значительных временных и материальных затрат, а также несет риск снижения выпуска продукции или сокращения сотрудников. При заключении соглашения, действие предписания п</w:t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риостанавливается, а контролируемое лицо обязуется поэтапно устранять выявленные нарушения согласно утвержденной программе в установленный срок.</w:t>
      </w:r>
      <w:r/>
      <w:r/>
    </w:p>
    <w:p>
      <w:pPr>
        <w:ind w:firstLine="0"/>
        <w:jc w:val="both"/>
        <w:spacing w:after="0" w:line="240" w:lineRule="auto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pStyle w:val="886"/>
        <w:numPr>
          <w:ilvl w:val="0"/>
          <w:numId w:val="6"/>
        </w:num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Типовые нарушения обязательных требований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6"/>
        <w:ind w:left="0" w:right="0" w:firstLine="709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правонарушений, выявленных  инспекцией строительного надзор</w:t>
      </w:r>
      <w:r>
        <w:rPr>
          <w:rFonts w:ascii="Times New Roman" w:hAnsi="Times New Roman"/>
          <w:sz w:val="28"/>
          <w:szCs w:val="28"/>
        </w:rPr>
        <w:t xml:space="preserve">а в ходе надзорных мероприятий за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, показывает, что типовыми нарушениями, являются: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неудовлетворительная организация строительного контроля со стороны застройщика и лица, осуществляющего строительство;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</w:t>
      </w:r>
      <w:r>
        <w:rPr>
          <w:rFonts w:ascii="Times New Roman" w:hAnsi="Times New Roman"/>
          <w:sz w:val="28"/>
          <w:szCs w:val="28"/>
        </w:rPr>
        <w:t xml:space="preserve">не выполнение требований проектной и рабочей документации при выполнении строительно-монтажных работ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отсутствие проектов производства работ, технологических карт при выполнен</w:t>
      </w:r>
      <w:r>
        <w:rPr>
          <w:rFonts w:ascii="Times New Roman" w:hAnsi="Times New Roman"/>
          <w:sz w:val="28"/>
          <w:szCs w:val="28"/>
        </w:rPr>
        <w:t xml:space="preserve">ии строительно-монтажных работ;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jc w:val="both"/>
        <w:spacing w:after="0"/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 отсутствие исполнительной документации, в т.ч. </w:t>
      </w:r>
      <w:r>
        <w:rPr>
          <w:rFonts w:ascii="Times New Roman" w:hAnsi="Times New Roman"/>
          <w:sz w:val="28"/>
          <w:szCs w:val="28"/>
        </w:rPr>
        <w:t xml:space="preserve">несвоевременное заполнение общего и специальных журналов работ;</w:t>
      </w:r>
      <w:r>
        <w:rPr>
          <w:rFonts w:ascii="Times New Roman" w:hAnsi="Times New Roman"/>
          <w:sz w:val="28"/>
          <w:szCs w:val="28"/>
        </w:rPr>
        <w:t xml:space="preserve"> несвоевременное оформление актов освидетельствования скрытых работ;</w:t>
      </w:r>
      <w:r>
        <w:rPr>
          <w:rFonts w:ascii="Times New Roman" w:hAnsi="Times New Roman"/>
          <w:sz w:val="28"/>
          <w:szCs w:val="28"/>
        </w:rPr>
        <w:t xml:space="preserve"> неполнота заполнения актов освидетельствования скрытых работ (подписи лиц, протоколы испытаний, паспорта и сертификаты на применённые материалы);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886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5) </w:t>
      </w:r>
      <w:r>
        <w:rPr>
          <w:rFonts w:ascii="Times New Roman" w:hAnsi="Times New Roman"/>
          <w:sz w:val="28"/>
          <w:szCs w:val="28"/>
        </w:rPr>
        <w:t xml:space="preserve">нарушение требований по организации строительства (работы в ночное время, вынос грязи со строительной площадки, некачественное ограждение и т.д.);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</w:t>
      </w:r>
      <w:r>
        <w:rPr>
          <w:rFonts w:ascii="Times New Roman" w:hAnsi="Times New Roman"/>
          <w:sz w:val="28"/>
          <w:szCs w:val="28"/>
        </w:rPr>
        <w:t xml:space="preserve">) нарушение требований охраны труда и техники безопасности.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6"/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Административная практика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86"/>
        <w:ind w:firstLine="709"/>
        <w:jc w:val="both"/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проверок при осуществлении регионального государственного строительного надзора 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 составлено 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  <w:t xml:space="preserve"> протокола об административных правонарушениях за нарушение обязательных требований, установленных градостроительным законодательством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из них 22 в ходе проведения надзорных мероприятий и 1 при непосредственном обнаружении на общую сумму штрафов 299 000 рублей.</w:t>
      </w:r>
      <w:r>
        <w:rPr>
          <w:rFonts w:ascii="Times New Roman" w:hAnsi="Times New Roman"/>
          <w:color w:val="auto"/>
          <w:sz w:val="28"/>
          <w:szCs w:val="28"/>
        </w:rPr>
      </w: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886"/>
        <w:ind w:firstLine="284"/>
        <w:jc w:val="both"/>
        <w:spacing w:after="0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По части 1 ст. 9.4 КоАП РФ составлено 6 протоколов об административных правонарушений в отношении юридических лиц, по результатам которых вынесены предупреждения;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86"/>
        <w:ind w:firstLine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части 2 ст. 9.4 КоАП РФ составлено 5 протоколов об административных правонарушений в отношении юридических лиц, по результатам которых </w:t>
      </w:r>
      <w:r>
        <w:rPr>
          <w:rFonts w:ascii="Times New Roman" w:hAnsi="Times New Roman"/>
          <w:sz w:val="28"/>
          <w:szCs w:val="28"/>
        </w:rPr>
        <w:t xml:space="preserve">назначены штрафы на общую сумму в размере 175 000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части 1 ст. 9.5 КоАП РФ – 1 протокол в отношении юридического лица, назначено наказание в виде предупреждения, 2 протокола в отношении должностных лиц, назначено наказание в виде штрафа </w:t>
      </w:r>
      <w:r>
        <w:rPr>
          <w:rFonts w:ascii="Times New Roman" w:hAnsi="Times New Roman"/>
          <w:sz w:val="28"/>
          <w:szCs w:val="28"/>
        </w:rPr>
        <w:t xml:space="preserve">на общую сумму</w:t>
      </w:r>
      <w:r>
        <w:rPr>
          <w:rFonts w:ascii="Times New Roman" w:hAnsi="Times New Roman"/>
          <w:sz w:val="28"/>
          <w:szCs w:val="28"/>
        </w:rPr>
        <w:t xml:space="preserve"> в размере 40 000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ч. 2 ст. 9.5 КоАП РФ – в отношении 2 должностных лиц, назначено наказание </w:t>
      </w:r>
      <w:r>
        <w:rPr>
          <w:rFonts w:ascii="Times New Roman" w:hAnsi="Times New Roman"/>
          <w:sz w:val="28"/>
          <w:szCs w:val="28"/>
        </w:rPr>
        <w:t xml:space="preserve">в виде штрафа </w:t>
      </w:r>
      <w:r>
        <w:rPr>
          <w:rFonts w:ascii="Times New Roman" w:hAnsi="Times New Roman"/>
          <w:sz w:val="28"/>
          <w:szCs w:val="28"/>
        </w:rPr>
        <w:t xml:space="preserve">на общую сумму</w:t>
      </w:r>
      <w:r>
        <w:rPr>
          <w:rFonts w:ascii="Times New Roman" w:hAnsi="Times New Roman"/>
          <w:sz w:val="28"/>
          <w:szCs w:val="28"/>
        </w:rPr>
        <w:t xml:space="preserve"> в размере 20 000 рублей, штраф оплачен, </w:t>
      </w:r>
      <w:r>
        <w:rPr>
          <w:rFonts w:ascii="Times New Roman" w:hAnsi="Times New Roman"/>
          <w:sz w:val="28"/>
          <w:szCs w:val="28"/>
        </w:rPr>
        <w:t xml:space="preserve">1 протокол в отношении юридического лица, назначено наказание в виде предупреждения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6"/>
        <w:ind w:firstLine="284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ч. 5 ст. 9.5 КоАП РФ – в отношении 3 должностных лиц, назначено наказание в виде штрафа </w:t>
      </w:r>
      <w:r>
        <w:rPr>
          <w:rFonts w:ascii="Times New Roman" w:hAnsi="Times New Roman"/>
          <w:sz w:val="28"/>
          <w:szCs w:val="28"/>
        </w:rPr>
        <w:t xml:space="preserve">на общую сумму</w:t>
      </w:r>
      <w:r>
        <w:rPr>
          <w:rFonts w:ascii="Times New Roman" w:hAnsi="Times New Roman"/>
          <w:sz w:val="28"/>
          <w:szCs w:val="28"/>
        </w:rPr>
        <w:t xml:space="preserve"> в размере по 20 000 рублей за каждый, </w:t>
      </w:r>
      <w:r>
        <w:rPr>
          <w:rFonts w:ascii="Times New Roman" w:hAnsi="Times New Roman"/>
          <w:sz w:val="28"/>
          <w:szCs w:val="28"/>
        </w:rPr>
        <w:t xml:space="preserve">так же составлено 2 протокола в отношении  физических лиц, назначено наказание в виде административного штрафа в размере 2 000 рублей каждый.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676" w:right="850" w:bottom="993" w:left="1701" w:header="426" w:footer="225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+mn-cs">
    <w:panose1 w:val="02000603000000000000"/>
  </w:font>
  <w:font w:name="Tahoma">
    <w:panose1 w:val="020B0606030504020204"/>
  </w:font>
  <w:font w:name="Arial">
    <w:panose1 w:val="020B0604020202020204"/>
  </w:font>
  <w:font w:name="+mn-ea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1</w:t>
    </w:r>
    <w:r>
      <w:fldChar w:fldCharType="end"/>
    </w:r>
    <w:r/>
  </w:p>
  <w:p>
    <w:pPr>
      <w:pStyle w:val="89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 w:eastAsia="+mn-ea" w:cs="+mn-cs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9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1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3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8">
    <w:name w:val="Heading 1"/>
    <w:basedOn w:val="886"/>
    <w:next w:val="886"/>
    <w:link w:val="7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9">
    <w:name w:val="Heading 1 Char"/>
    <w:link w:val="708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86"/>
    <w:next w:val="886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86"/>
    <w:next w:val="886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86"/>
    <w:next w:val="886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86"/>
    <w:next w:val="886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List Paragraph"/>
    <w:basedOn w:val="886"/>
    <w:uiPriority w:val="34"/>
    <w:qFormat/>
    <w:pPr>
      <w:contextualSpacing/>
      <w:ind w:left="720"/>
    </w:pPr>
  </w:style>
  <w:style w:type="paragraph" w:styleId="727">
    <w:name w:val="No Spacing"/>
    <w:uiPriority w:val="1"/>
    <w:qFormat/>
    <w:pPr>
      <w:spacing w:before="0" w:after="0" w:line="240" w:lineRule="auto"/>
    </w:pPr>
  </w:style>
  <w:style w:type="paragraph" w:styleId="728">
    <w:name w:val="Title"/>
    <w:basedOn w:val="886"/>
    <w:next w:val="886"/>
    <w:link w:val="72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9">
    <w:name w:val="Title Char"/>
    <w:link w:val="728"/>
    <w:uiPriority w:val="10"/>
    <w:rPr>
      <w:sz w:val="48"/>
      <w:szCs w:val="48"/>
    </w:rPr>
  </w:style>
  <w:style w:type="paragraph" w:styleId="730">
    <w:name w:val="Subtitle"/>
    <w:basedOn w:val="886"/>
    <w:next w:val="886"/>
    <w:link w:val="731"/>
    <w:uiPriority w:val="11"/>
    <w:qFormat/>
    <w:pPr>
      <w:spacing w:before="200" w:after="200"/>
    </w:pPr>
    <w:rPr>
      <w:sz w:val="24"/>
      <w:szCs w:val="24"/>
    </w:rPr>
  </w:style>
  <w:style w:type="character" w:styleId="731">
    <w:name w:val="Subtitle Char"/>
    <w:link w:val="730"/>
    <w:uiPriority w:val="11"/>
    <w:rPr>
      <w:sz w:val="24"/>
      <w:szCs w:val="24"/>
    </w:rPr>
  </w:style>
  <w:style w:type="paragraph" w:styleId="732">
    <w:name w:val="Quote"/>
    <w:basedOn w:val="886"/>
    <w:next w:val="886"/>
    <w:link w:val="733"/>
    <w:uiPriority w:val="29"/>
    <w:qFormat/>
    <w:pPr>
      <w:ind w:left="720" w:right="720"/>
    </w:pPr>
    <w:rPr>
      <w:i/>
    </w:rPr>
  </w:style>
  <w:style w:type="character" w:styleId="733">
    <w:name w:val="Quote Char"/>
    <w:link w:val="732"/>
    <w:uiPriority w:val="29"/>
    <w:rPr>
      <w:i/>
    </w:rPr>
  </w:style>
  <w:style w:type="paragraph" w:styleId="734">
    <w:name w:val="Intense Quote"/>
    <w:basedOn w:val="886"/>
    <w:next w:val="886"/>
    <w:link w:val="73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5">
    <w:name w:val="Intense Quote Char"/>
    <w:link w:val="734"/>
    <w:uiPriority w:val="30"/>
    <w:rPr>
      <w:i/>
    </w:rPr>
  </w:style>
  <w:style w:type="paragraph" w:styleId="736">
    <w:name w:val="Header"/>
    <w:basedOn w:val="886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7">
    <w:name w:val="Header Char"/>
    <w:link w:val="736"/>
    <w:uiPriority w:val="99"/>
  </w:style>
  <w:style w:type="paragraph" w:styleId="738">
    <w:name w:val="Footer"/>
    <w:basedOn w:val="886"/>
    <w:link w:val="7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9">
    <w:name w:val="Footer Char"/>
    <w:link w:val="738"/>
    <w:uiPriority w:val="99"/>
  </w:style>
  <w:style w:type="paragraph" w:styleId="740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1">
    <w:name w:val="Caption Char"/>
    <w:basedOn w:val="740"/>
    <w:link w:val="738"/>
    <w:uiPriority w:val="99"/>
  </w:style>
  <w:style w:type="table" w:styleId="74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8">
    <w:name w:val="Hyperlink"/>
    <w:uiPriority w:val="99"/>
    <w:unhideWhenUsed/>
    <w:rPr>
      <w:color w:val="0000ff" w:themeColor="hyperlink"/>
      <w:u w:val="single"/>
    </w:r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next w:val="886"/>
    <w:link w:val="886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87">
    <w:name w:val="Основной шрифт абзаца"/>
    <w:next w:val="887"/>
    <w:link w:val="886"/>
    <w:uiPriority w:val="1"/>
    <w:semiHidden/>
    <w:unhideWhenUsed/>
  </w:style>
  <w:style w:type="table" w:styleId="888">
    <w:name w:val="Обычная таблица"/>
    <w:next w:val="888"/>
    <w:link w:val="886"/>
    <w:uiPriority w:val="99"/>
    <w:semiHidden/>
    <w:unhideWhenUsed/>
    <w:tblPr/>
  </w:style>
  <w:style w:type="numbering" w:styleId="889">
    <w:name w:val="Нет списка"/>
    <w:next w:val="889"/>
    <w:link w:val="886"/>
    <w:uiPriority w:val="99"/>
    <w:semiHidden/>
    <w:unhideWhenUsed/>
  </w:style>
  <w:style w:type="paragraph" w:styleId="890">
    <w:name w:val="Обычный (веб)"/>
    <w:basedOn w:val="886"/>
    <w:next w:val="890"/>
    <w:link w:val="88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>
    <w:name w:val="Текст выноски"/>
    <w:basedOn w:val="886"/>
    <w:next w:val="891"/>
    <w:link w:val="89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2">
    <w:name w:val="Текст выноски Знак"/>
    <w:next w:val="892"/>
    <w:link w:val="891"/>
    <w:uiPriority w:val="99"/>
    <w:semiHidden/>
    <w:rPr>
      <w:rFonts w:ascii="Tahoma" w:hAnsi="Tahoma" w:cs="Tahoma"/>
      <w:sz w:val="16"/>
      <w:szCs w:val="16"/>
    </w:rPr>
  </w:style>
  <w:style w:type="paragraph" w:styleId="893">
    <w:name w:val="Абзац списка"/>
    <w:basedOn w:val="886"/>
    <w:next w:val="893"/>
    <w:link w:val="886"/>
    <w:uiPriority w:val="34"/>
    <w:qFormat/>
    <w:pPr>
      <w:ind w:left="708"/>
    </w:pPr>
  </w:style>
  <w:style w:type="paragraph" w:styleId="894">
    <w:name w:val="Верхний колонтитул"/>
    <w:basedOn w:val="886"/>
    <w:next w:val="894"/>
    <w:link w:val="89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5">
    <w:name w:val="Верхний колонтитул Знак"/>
    <w:next w:val="895"/>
    <w:link w:val="894"/>
    <w:uiPriority w:val="99"/>
    <w:rPr>
      <w:sz w:val="22"/>
      <w:szCs w:val="22"/>
      <w:lang w:eastAsia="en-US"/>
    </w:rPr>
  </w:style>
  <w:style w:type="paragraph" w:styleId="896">
    <w:name w:val="Нижний колонтитул"/>
    <w:basedOn w:val="886"/>
    <w:next w:val="896"/>
    <w:link w:val="89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7">
    <w:name w:val="Нижний колонтитул Знак"/>
    <w:next w:val="897"/>
    <w:link w:val="896"/>
    <w:uiPriority w:val="99"/>
    <w:rPr>
      <w:sz w:val="22"/>
      <w:szCs w:val="22"/>
      <w:lang w:eastAsia="en-US"/>
    </w:rPr>
  </w:style>
  <w:style w:type="character" w:styleId="898">
    <w:name w:val="Гиперссылка"/>
    <w:next w:val="898"/>
    <w:link w:val="886"/>
    <w:uiPriority w:val="99"/>
    <w:unhideWhenUsed/>
    <w:rPr>
      <w:color w:val="0000ff"/>
      <w:u w:val="single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Елена Анатольевна</dc:creator>
  <cp:lastModifiedBy>morozov</cp:lastModifiedBy>
  <cp:revision>16</cp:revision>
  <dcterms:created xsi:type="dcterms:W3CDTF">2023-02-09T13:55:00Z</dcterms:created>
  <dcterms:modified xsi:type="dcterms:W3CDTF">2025-02-20T10:31:36Z</dcterms:modified>
  <cp:version>917504</cp:version>
</cp:coreProperties>
</file>