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7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</w:r>
      <w:r>
        <w:rPr>
          <w:rFonts w:ascii="Times New Roman" w:hAnsi="Times New Roman" w:cs="Times New Roman"/>
          <w:b w:val="0"/>
          <w:sz w:val="26"/>
          <w:szCs w:val="26"/>
        </w:rPr>
      </w:r>
      <w:r>
        <w:rPr>
          <w:rFonts w:ascii="Times New Roman" w:hAnsi="Times New Roman" w:cs="Times New Roman"/>
          <w:b w:val="0"/>
          <w:sz w:val="26"/>
          <w:szCs w:val="26"/>
        </w:rPr>
      </w:r>
    </w:p>
    <w:p>
      <w:pPr>
        <w:pStyle w:val="897"/>
        <w:jc w:val="right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П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роект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ДОКЛАД</w:t>
      </w: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ind w:firstLine="708"/>
        <w:jc w:val="center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«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Результаты правоприменительной практики при осуществлении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регионального государственного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контроля (надзора) в области долевого строительства многоквартирных домов и (или) иных объектов недвижимости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за 2024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год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»</w:t>
      </w: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Ижевск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</w:t>
      </w:r>
      <w:r>
        <w:rPr>
          <w:rFonts w:ascii="Times New Roman" w:hAnsi="Times New Roman" w:cs="Times New Roman"/>
          <w:sz w:val="28"/>
          <w:szCs w:val="28"/>
        </w:rPr>
        <w:t xml:space="preserve">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</w:t>
      </w:r>
      <w:r>
        <w:rPr>
          <w:rFonts w:ascii="Times New Roman" w:hAnsi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Анализ поступивших обращений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___________________________________________4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  <w:t xml:space="preserve">Контрольно-надзорная деятельность</w:t>
      </w:r>
      <w:r>
        <w:rPr>
          <w:rFonts w:ascii="Times New Roman" w:hAnsi="Times New Roman"/>
          <w:sz w:val="28"/>
          <w:szCs w:val="28"/>
        </w:rPr>
        <w:t xml:space="preserve"> ______________________________</w:t>
      </w:r>
      <w:r>
        <w:rPr>
          <w:rFonts w:ascii="Times New Roman" w:hAnsi="Times New Roman"/>
          <w:sz w:val="28"/>
          <w:szCs w:val="28"/>
        </w:rPr>
        <w:t xml:space="preserve">______</w:t>
      </w:r>
      <w:r>
        <w:rPr>
          <w:rFonts w:ascii="Times New Roman" w:hAnsi="Times New Roman"/>
          <w:sz w:val="28"/>
          <w:szCs w:val="28"/>
        </w:rPr>
        <w:t xml:space="preserve">____4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Наиболее часто встречающиеся нарушения обязательных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требований при осуществлении государственного контроля (надзора) в области долевого строительства многоквартирных домов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</w:t>
      </w:r>
      <w:r>
        <w:rPr>
          <w:rFonts w:ascii="Times New Roman" w:hAnsi="Times New Roman" w:cs="Times New Roman"/>
          <w:sz w:val="28"/>
          <w:szCs w:val="28"/>
        </w:rPr>
        <w:t xml:space="preserve">______5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contextualSpacing/>
        <w:jc w:val="both"/>
        <w:spacing w:line="240" w:lineRule="auto"/>
        <w:tabs>
          <w:tab w:val="left" w:pos="284" w:leader="none"/>
          <w:tab w:val="left" w:pos="709" w:leader="none"/>
          <w:tab w:val="left" w:pos="761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317" w:lineRule="exact"/>
        <w:widowControl w:val="off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Основные изменения закон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одательства,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произошедшие в 2023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году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5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Профилактика нарушений обязательных требований,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</w:t>
      </w:r>
      <w:r>
        <w:rPr>
          <w:rFonts w:ascii="Times New Roman" w:hAnsi="Times New Roman"/>
          <w:sz w:val="28"/>
          <w:szCs w:val="28"/>
        </w:rPr>
        <w:t xml:space="preserve">з состояния подконтрольной среды__________________</w:t>
      </w:r>
      <w:r>
        <w:rPr>
          <w:rFonts w:ascii="Times New Roman" w:hAnsi="Times New Roman"/>
          <w:sz w:val="28"/>
          <w:szCs w:val="28"/>
        </w:rPr>
        <w:t xml:space="preserve">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 xml:space="preserve">___________________</w:t>
      </w:r>
      <w:r>
        <w:rPr>
          <w:rFonts w:ascii="Times New Roman" w:hAnsi="Times New Roman" w:cs="Times New Roman"/>
          <w:bCs/>
          <w:sz w:val="28"/>
          <w:szCs w:val="28"/>
        </w:rPr>
        <w:t xml:space="preserve">__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9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Введение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по государственному надзору Удмуртской Республики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(далее - 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Управление 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по надзору УР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)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является исполнительным органом государственной власти, осуществляющим на территории Удмуртской Республики </w:t>
      </w:r>
      <w:r>
        <w:rPr>
          <w:rFonts w:ascii="Times New Roman" w:hAnsi="Times New Roman" w:cs="Times New Roman"/>
          <w:sz w:val="28"/>
          <w:szCs w:val="28"/>
        </w:rPr>
        <w:t xml:space="preserve">региональный государственный контроль (надзор</w:t>
      </w:r>
      <w:r>
        <w:rPr>
          <w:rFonts w:ascii="Times New Roman" w:hAnsi="Times New Roman" w:cs="Times New Roman"/>
          <w:sz w:val="28"/>
          <w:szCs w:val="28"/>
        </w:rPr>
        <w:t xml:space="preserve">) в области долевого строительства многоквартирных домов и (или) иных объектов недвижимости на терри</w:t>
      </w:r>
      <w:r>
        <w:rPr>
          <w:rFonts w:ascii="Times New Roman" w:hAnsi="Times New Roman" w:cs="Times New Roman"/>
          <w:sz w:val="28"/>
          <w:szCs w:val="28"/>
        </w:rPr>
        <w:t xml:space="preserve">тории Удмуртской Республики. 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 w:eastAsiaTheme="minorHAnsi"/>
          <w:sz w:val="28"/>
          <w:szCs w:val="28"/>
        </w:rPr>
      </w:pPr>
      <w:r>
        <w:rPr>
          <w:rFonts w:ascii="Times New Roman" w:hAnsi="Times New Roman" w:cs="Times New Roman" w:eastAsiaTheme="minorHAnsi"/>
          <w:sz w:val="28"/>
          <w:szCs w:val="28"/>
        </w:rPr>
        <w:t xml:space="preserve">Предметом государственного контроля (над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зора) является соблюдение лицами, привлекающими денежные средства участников долевого строительства для строительства (создания) многоквартирных домов и (или) иных объектов недвижимости (далее - контролируемые лица), обязательных требований, установленных 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Федеральным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 закон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ом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 от 30.12.2004 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№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 214-ФЗ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 «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» (далее - 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Федеральны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й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 закон № 214-ФЗ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)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 и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 принятыми в соответствии с ним иными нормативными правовыми актами Российской Федерации (далее - обязательные требования).</w:t>
      </w:r>
      <w:r>
        <w:rPr>
          <w:rFonts w:ascii="Times New Roman" w:hAnsi="Times New Roman" w:cs="Times New Roman" w:eastAsiaTheme="minorHAnsi"/>
          <w:sz w:val="28"/>
          <w:szCs w:val="28"/>
        </w:rPr>
      </w:r>
      <w:r>
        <w:rPr>
          <w:rFonts w:ascii="Times New Roman" w:hAnsi="Times New Roman" w:cs="Times New Roman" w:eastAsiaTheme="minorHAnsi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 w:eastAsiaTheme="minorHAnsi"/>
          <w:sz w:val="28"/>
          <w:szCs w:val="28"/>
        </w:rPr>
      </w:pPr>
      <w:r>
        <w:rPr>
          <w:rFonts w:ascii="Times New Roman" w:hAnsi="Times New Roman" w:cs="Times New Roman" w:eastAsiaTheme="minorHAnsi"/>
          <w:sz w:val="28"/>
          <w:szCs w:val="28"/>
        </w:rPr>
        <w:t xml:space="preserve">Объ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ектом государственного контроля (надзора) является деятельность, действия (бездействие) организаций, в рамках которых должны соблюдаться обязательные требования, в том числе предъявляемые к организациям, осуществляющим деятельность, действия (бездействие).</w:t>
      </w:r>
      <w:r>
        <w:rPr>
          <w:rFonts w:ascii="Times New Roman" w:hAnsi="Times New Roman" w:cs="Times New Roman" w:eastAsiaTheme="minorHAnsi"/>
          <w:sz w:val="28"/>
          <w:szCs w:val="28"/>
        </w:rPr>
      </w:r>
      <w:r>
        <w:rPr>
          <w:rFonts w:ascii="Times New Roman" w:hAnsi="Times New Roman" w:cs="Times New Roman" w:eastAsiaTheme="minorHAnsi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Штатная численность сотрудников осуществляющих </w:t>
      </w:r>
      <w:r>
        <w:rPr>
          <w:rFonts w:ascii="Times New Roman" w:hAnsi="Times New Roman" w:cs="Times New Roman"/>
          <w:sz w:val="28"/>
          <w:szCs w:val="28"/>
        </w:rPr>
        <w:t xml:space="preserve">региональный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государственный контроль (надзор) в области долевого строительства многоквартирных домов и (или) иных объектов недвижимости на территории Удмуртской Республики составляет 4 человека.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Полномочия </w:t>
      </w:r>
      <w:r>
        <w:rPr>
          <w:rFonts w:ascii="Times New Roman" w:hAnsi="Times New Roman" w:cs="Times New Roman"/>
          <w:sz w:val="28"/>
          <w:szCs w:val="28"/>
        </w:rPr>
        <w:t xml:space="preserve">Управления по надзору УР </w:t>
      </w:r>
      <w:r>
        <w:rPr>
          <w:rFonts w:ascii="Times New Roman" w:hAnsi="Times New Roman" w:cs="Times New Roman"/>
          <w:sz w:val="28"/>
          <w:szCs w:val="28"/>
        </w:rPr>
        <w:t xml:space="preserve">определены Положением о Главном управлении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по государственному надзору Удмуртской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утвержденном постановлением 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Удмуртской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Республики </w:t>
      </w:r>
      <w:r>
        <w:rPr>
          <w:rFonts w:ascii="Times New Roman" w:hAnsi="Times New Roman" w:cs="Times New Roman"/>
          <w:sz w:val="28"/>
          <w:szCs w:val="28"/>
        </w:rPr>
        <w:t xml:space="preserve">от 29 декабря 2017 года  № 588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доклад по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</w:t>
      </w:r>
      <w:r>
        <w:rPr>
          <w:rFonts w:ascii="Times New Roman" w:hAnsi="Times New Roman" w:cs="Times New Roman"/>
          <w:bCs/>
          <w:sz w:val="28"/>
          <w:szCs w:val="28"/>
        </w:rPr>
        <w:t xml:space="preserve">авоприменительной практике при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осуществлении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государственного контроля (надзора</w:t>
      </w:r>
      <w:r>
        <w:rPr>
          <w:rFonts w:ascii="Times New Roman" w:hAnsi="Times New Roman" w:cs="Times New Roman"/>
          <w:sz w:val="28"/>
          <w:szCs w:val="28"/>
        </w:rPr>
        <w:t xml:space="preserve">) в области долевого строительства многоквартирных домов и (или) иных объектов недвижимости на терри</w:t>
      </w:r>
      <w:r>
        <w:rPr>
          <w:rFonts w:ascii="Times New Roman" w:hAnsi="Times New Roman" w:cs="Times New Roman"/>
          <w:sz w:val="28"/>
          <w:szCs w:val="28"/>
        </w:rPr>
        <w:t xml:space="preserve">тории Удмуртской Республики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 20</w:t>
      </w:r>
      <w:r>
        <w:rPr>
          <w:rFonts w:ascii="Times New Roman" w:hAnsi="Times New Roman" w:cs="Times New Roman"/>
          <w:bCs/>
          <w:sz w:val="28"/>
          <w:szCs w:val="28"/>
        </w:rPr>
        <w:t xml:space="preserve">24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подготовлен в рамках реализации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ч</w:t>
      </w:r>
      <w:r>
        <w:rPr>
          <w:rFonts w:ascii="Times New Roman" w:hAnsi="Times New Roman" w:cs="Times New Roman"/>
          <w:bCs/>
          <w:sz w:val="28"/>
          <w:szCs w:val="28"/>
        </w:rPr>
        <w:t xml:space="preserve">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2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</w:t>
      </w:r>
      <w:r>
        <w:rPr>
          <w:rFonts w:ascii="Times New Roman" w:hAnsi="Times New Roman" w:cs="Times New Roman"/>
          <w:bCs/>
          <w:sz w:val="28"/>
          <w:szCs w:val="28"/>
        </w:rPr>
        <w:t xml:space="preserve">атьи</w:t>
      </w:r>
      <w:r>
        <w:rPr>
          <w:rFonts w:ascii="Times New Roman" w:hAnsi="Times New Roman" w:cs="Times New Roman"/>
          <w:bCs/>
          <w:sz w:val="28"/>
          <w:szCs w:val="28"/>
        </w:rPr>
        <w:t xml:space="preserve"> 47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Федерального закона от 31 июля 2020 года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ункта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17</w:t>
      </w:r>
      <w:r>
        <w:rPr>
          <w:rFonts w:ascii="Times New Roman" w:hAnsi="Times New Roman" w:cs="Times New Roman"/>
          <w:sz w:val="28"/>
          <w:szCs w:val="28"/>
        </w:rPr>
        <w:t xml:space="preserve"> Пост</w:t>
      </w:r>
      <w:r>
        <w:rPr>
          <w:rFonts w:ascii="Times New Roman" w:hAnsi="Times New Roman" w:cs="Times New Roman"/>
          <w:sz w:val="28"/>
          <w:szCs w:val="28"/>
        </w:rPr>
        <w:t xml:space="preserve">ановления Правительства УР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   № 649</w:t>
      </w:r>
      <w:r>
        <w:rPr>
          <w:rFonts w:ascii="Times New Roman" w:hAnsi="Times New Roman" w:cs="Times New Roman"/>
          <w:sz w:val="28"/>
          <w:szCs w:val="28"/>
        </w:rPr>
        <w:t xml:space="preserve"> «О региональном государственном </w:t>
      </w:r>
      <w:r>
        <w:rPr>
          <w:rFonts w:ascii="Times New Roman" w:hAnsi="Times New Roman" w:cs="Times New Roman"/>
          <w:sz w:val="28"/>
          <w:szCs w:val="28"/>
        </w:rPr>
        <w:t xml:space="preserve">контроле (надзоре) в области долевого строительства многоквартирных домов и (или) иных объектов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 основе обобщения и анализа, имеющихся в распоряжении Управления по надзору УР материалов</w:t>
      </w:r>
      <w:r>
        <w:rPr>
          <w:rFonts w:ascii="Times New Roman" w:hAnsi="Times New Roman" w:cs="Times New Roman"/>
          <w:sz w:val="28"/>
          <w:szCs w:val="28"/>
        </w:rPr>
        <w:t xml:space="preserve"> и информации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 w:eastAsiaTheme="minorHAnsi"/>
          <w:sz w:val="28"/>
          <w:szCs w:val="28"/>
        </w:rPr>
      </w:pPr>
      <w:r>
        <w:rPr>
          <w:rFonts w:ascii="Times New Roman" w:hAnsi="Times New Roman" w:cs="Times New Roman" w:eastAsiaTheme="minorHAnsi"/>
          <w:sz w:val="28"/>
          <w:szCs w:val="28"/>
        </w:rPr>
        <w:t xml:space="preserve">Обобщение правоприменительной практики проводится для решения следующих задач:</w:t>
      </w:r>
      <w:r>
        <w:rPr>
          <w:rFonts w:ascii="Times New Roman" w:hAnsi="Times New Roman" w:cs="Times New Roman" w:eastAsiaTheme="minorHAnsi"/>
          <w:sz w:val="28"/>
          <w:szCs w:val="28"/>
        </w:rPr>
      </w:r>
      <w:r>
        <w:rPr>
          <w:rFonts w:ascii="Times New Roman" w:hAnsi="Times New Roman" w:cs="Times New Roman" w:eastAsiaTheme="minorHAnsi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 w:eastAsiaTheme="minorHAnsi"/>
          <w:sz w:val="28"/>
          <w:szCs w:val="28"/>
        </w:rPr>
      </w:pPr>
      <w:r>
        <w:rPr>
          <w:rFonts w:ascii="Times New Roman" w:hAnsi="Times New Roman" w:cs="Times New Roman" w:eastAsiaTheme="minorHAnsi"/>
          <w:sz w:val="28"/>
          <w:szCs w:val="28"/>
        </w:rPr>
      </w:r>
      <w:r>
        <w:rPr>
          <w:rFonts w:ascii="Times New Roman" w:hAnsi="Times New Roman" w:cs="Times New Roman" w:eastAsiaTheme="minorHAnsi"/>
          <w:sz w:val="28"/>
          <w:szCs w:val="28"/>
        </w:rPr>
      </w:r>
      <w:r>
        <w:rPr>
          <w:rFonts w:ascii="Times New Roman" w:hAnsi="Times New Roman" w:cs="Times New Roman" w:eastAsiaTheme="minorHAnsi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 w:eastAsiaTheme="minorHAnsi"/>
          <w:sz w:val="28"/>
          <w:szCs w:val="28"/>
        </w:rPr>
      </w:pPr>
      <w:r>
        <w:rPr>
          <w:rFonts w:ascii="Times New Roman" w:hAnsi="Times New Roman" w:cs="Times New Roman" w:eastAsiaTheme="minorHAnsi"/>
          <w:sz w:val="28"/>
          <w:szCs w:val="28"/>
        </w:rPr>
        <w:t xml:space="preserve">1) обеспечение единообразных подходов к применению 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Управлением по надзору УР 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и его должностными лицами обязательных требований, законодательства Российской Федерации о гос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ударственном контроле (надзоре)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;</w:t>
      </w:r>
      <w:r>
        <w:rPr>
          <w:rFonts w:ascii="Times New Roman" w:hAnsi="Times New Roman" w:cs="Times New Roman" w:eastAsiaTheme="minorHAnsi"/>
          <w:sz w:val="28"/>
          <w:szCs w:val="28"/>
        </w:rPr>
      </w:r>
      <w:r>
        <w:rPr>
          <w:rFonts w:ascii="Times New Roman" w:hAnsi="Times New Roman" w:cs="Times New Roman" w:eastAsiaTheme="minorHAnsi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 w:eastAsiaTheme="minorHAnsi"/>
          <w:sz w:val="28"/>
          <w:szCs w:val="28"/>
        </w:rPr>
      </w:pPr>
      <w:r>
        <w:rPr>
          <w:rFonts w:ascii="Times New Roman" w:hAnsi="Times New Roman" w:cs="Times New Roman" w:eastAsiaTheme="minorHAnsi"/>
          <w:sz w:val="28"/>
          <w:szCs w:val="28"/>
        </w:rPr>
        <w:t xml:space="preserve">2) выявление типичных нарушений обязательных требований, причин, факторов и условий, способствующих возникновению указанных нарушений;</w:t>
      </w:r>
      <w:r>
        <w:rPr>
          <w:rFonts w:ascii="Times New Roman" w:hAnsi="Times New Roman" w:cs="Times New Roman" w:eastAsiaTheme="minorHAnsi"/>
          <w:sz w:val="28"/>
          <w:szCs w:val="28"/>
        </w:rPr>
      </w:r>
      <w:r>
        <w:rPr>
          <w:rFonts w:ascii="Times New Roman" w:hAnsi="Times New Roman" w:cs="Times New Roman" w:eastAsiaTheme="minorHAnsi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 w:eastAsiaTheme="minorHAnsi"/>
          <w:sz w:val="28"/>
          <w:szCs w:val="28"/>
        </w:rPr>
      </w:pPr>
      <w:r>
        <w:rPr>
          <w:rFonts w:ascii="Times New Roman" w:hAnsi="Times New Roman" w:cs="Times New Roman" w:eastAsiaTheme="minorHAnsi"/>
          <w:sz w:val="28"/>
          <w:szCs w:val="28"/>
        </w:rPr>
        <w:t xml:space="preserve">3) анализ случаев причинения вреда (ущерба) охраняемым законом ценностям, выявление источников и факторов риска причинения вреда (ущерба);</w:t>
      </w:r>
      <w:r>
        <w:rPr>
          <w:rFonts w:ascii="Times New Roman" w:hAnsi="Times New Roman" w:cs="Times New Roman" w:eastAsiaTheme="minorHAnsi"/>
          <w:sz w:val="28"/>
          <w:szCs w:val="28"/>
        </w:rPr>
      </w:r>
      <w:r>
        <w:rPr>
          <w:rFonts w:ascii="Times New Roman" w:hAnsi="Times New Roman" w:cs="Times New Roman" w:eastAsiaTheme="minorHAnsi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 w:eastAsiaTheme="minorHAnsi"/>
          <w:sz w:val="28"/>
          <w:szCs w:val="28"/>
        </w:rPr>
      </w:pPr>
      <w:r>
        <w:rPr>
          <w:rFonts w:ascii="Times New Roman" w:hAnsi="Times New Roman" w:cs="Times New Roman" w:eastAsiaTheme="minorHAnsi"/>
          <w:sz w:val="28"/>
          <w:szCs w:val="28"/>
        </w:rPr>
        <w:t xml:space="preserve">4) подготовка предложений об актуализации обязательных требований;</w:t>
      </w:r>
      <w:r>
        <w:rPr>
          <w:rFonts w:ascii="Times New Roman" w:hAnsi="Times New Roman" w:cs="Times New Roman" w:eastAsiaTheme="minorHAnsi"/>
          <w:sz w:val="28"/>
          <w:szCs w:val="28"/>
        </w:rPr>
      </w:r>
      <w:r>
        <w:rPr>
          <w:rFonts w:ascii="Times New Roman" w:hAnsi="Times New Roman" w:cs="Times New Roman" w:eastAsiaTheme="minorHAnsi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 w:eastAsiaTheme="minorHAnsi"/>
          <w:sz w:val="28"/>
          <w:szCs w:val="28"/>
        </w:rPr>
      </w:pPr>
      <w:r>
        <w:rPr>
          <w:rFonts w:ascii="Times New Roman" w:hAnsi="Times New Roman" w:cs="Times New Roman" w:eastAsiaTheme="minorHAnsi"/>
          <w:sz w:val="28"/>
          <w:szCs w:val="28"/>
        </w:rPr>
        <w:t xml:space="preserve">5) 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  <w:r>
        <w:rPr>
          <w:rFonts w:ascii="Times New Roman" w:hAnsi="Times New Roman" w:cs="Times New Roman" w:eastAsiaTheme="minorHAnsi"/>
          <w:sz w:val="28"/>
          <w:szCs w:val="28"/>
        </w:rPr>
      </w:r>
      <w:r>
        <w:rPr>
          <w:rFonts w:ascii="Times New Roman" w:hAnsi="Times New Roman" w:cs="Times New Roman" w:eastAsiaTheme="minorHAnsi"/>
          <w:sz w:val="28"/>
          <w:szCs w:val="28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Анализ поступивших обращений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723"/>
        <w:ind w:left="0" w:righ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2024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отдел по контролю и надзору за долевым участ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ием в строительстве поступило 40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граждан, содержащих доводы о нарушении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обязательных требований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обращениях наиболее часто звучат вопросы о нижеследующем: 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ind w:right="-1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порядок, сроки, передачи объекта участнику долевого строительства застройщиком собственнику;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ind w:right="-1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исправление замечаний участника долевого строительства по передаточному акту, сроки ответа на претензии; 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ind w:right="-1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гарантийные сроки, установленные 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Федеральны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м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 закон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ом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 № 214-ФЗ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ind w:right="-1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рассмотрения обращений, участникам долевого строительства были даны ответ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 по существу заданных вопросов.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8"/>
          <w:szCs w:val="28"/>
        </w:rPr>
        <w:outlineLvl w:val="1"/>
      </w:pPr>
      <w:r>
        <w:rPr>
          <w:rFonts w:ascii="Times New Roman" w:hAnsi="Times New Roman"/>
          <w:b/>
          <w:sz w:val="28"/>
          <w:szCs w:val="28"/>
        </w:rPr>
        <w:t xml:space="preserve">Контрольно-надзорная деятельность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8"/>
          <w:szCs w:val="28"/>
        </w:rPr>
        <w:outlineLvl w:val="1"/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осуществления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регионального государственного контроля (надзора) в области долевого строительства многоквартирных домов и (или) иных объектов недвижимости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2024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году было проведено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2537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мероприятий по контролю без взаимодействия с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юридическими лицами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, в том числе: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16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количество проверенных отчетов (отчетности) застройщиков по долевому строительству;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238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количество проверенных изменений в проектные декларации по финансовому результату;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38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проверок проектной декларации на соответствие требованиям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 w:eastAsiaTheme="minorHAnsi"/>
          <w:sz w:val="28"/>
          <w:szCs w:val="28"/>
          <w:highlight w:val="white"/>
        </w:rPr>
        <w:t xml:space="preserve">Федерального</w:t>
      </w:r>
      <w:r>
        <w:rPr>
          <w:rFonts w:ascii="Times New Roman" w:hAnsi="Times New Roman" w:cs="Times New Roman" w:eastAsiaTheme="minorHAnsi"/>
          <w:sz w:val="28"/>
          <w:szCs w:val="28"/>
          <w:highlight w:val="white"/>
        </w:rPr>
        <w:t xml:space="preserve"> закон</w:t>
      </w:r>
      <w:r>
        <w:rPr>
          <w:rFonts w:ascii="Times New Roman" w:hAnsi="Times New Roman" w:cs="Times New Roman" w:eastAsiaTheme="minorHAnsi"/>
          <w:sz w:val="28"/>
          <w:szCs w:val="28"/>
          <w:highlight w:val="white"/>
        </w:rPr>
        <w:t xml:space="preserve">а</w:t>
      </w:r>
      <w:r>
        <w:rPr>
          <w:rFonts w:ascii="Times New Roman" w:hAnsi="Times New Roman" w:cs="Times New Roman" w:eastAsiaTheme="minorHAnsi"/>
          <w:sz w:val="28"/>
          <w:szCs w:val="28"/>
          <w:highlight w:val="white"/>
        </w:rPr>
        <w:t xml:space="preserve"> № 214-ФЗ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;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34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количе</w:t>
      </w:r>
      <w:bookmarkStart w:id="0" w:name="_GoBack"/>
      <w:r>
        <w:rPr>
          <w:highlight w:val="white"/>
        </w:rPr>
      </w:r>
      <w:bookmarkEnd w:id="0"/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ство проверок раскрытия информации застройщиками;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946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проверок внесения изменений в проектную декларацию информации о количестве заключенных договоров;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954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проверок по факту размещения фотографий строящихся объектов недвижимости в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Единой информационной системе жилищного строительства (далее –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ЕИСЖС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311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проверок по факту своевременности размещения бухгалтерской отчетности и аудиторского заключения в ЕИСЖС.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проведения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мероприятий по контролю без взаимодействия с юридическими лицами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контролируемым лицам выдано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45 предостережений о недопустимости нарушения обязательных требований. 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Наиболее часто встречающиеся нарушения </w:t>
      </w:r>
      <w:r>
        <w:rPr>
          <w:rFonts w:ascii="Times New Roman" w:hAnsi="Times New Roman"/>
          <w:b/>
          <w:sz w:val="28"/>
          <w:szCs w:val="28"/>
        </w:rPr>
        <w:t xml:space="preserve">обязательных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требований при осуществлении государственного контроля (надзора) в области долевого строительства многоквартирных домов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sz w:val="28"/>
          <w:szCs w:val="28"/>
          <w:lang w:eastAsia="ru-RU"/>
        </w:rPr>
      </w:r>
    </w:p>
    <w:p>
      <w:pPr>
        <w:ind w:right="-1" w:firstLine="567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Анализ правонарушений, выявленных в ходе проведения мероприятий без взаимодействия с юридическими лицами, за истекший период показывает, что типовыми нарушениями, являются: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numPr>
          <w:ilvl w:val="0"/>
          <w:numId w:val="7"/>
        </w:numPr>
        <w:ind w:left="0" w:right="-1" w:firstLine="567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рушение сроков размещения фотографий строящихся (создаваемых) застройщиком с привлечением денежных средств участников долевого строительства многоквартирного дома и (или) иного объекта недвижимости, отражающие текущее состояние их строительства (создания);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numPr>
          <w:ilvl w:val="0"/>
          <w:numId w:val="7"/>
        </w:numPr>
        <w:ind w:left="0" w:right="-1" w:firstLine="567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нарушение сроков размещения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 изменениях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вносимых в проектную декларацию. 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600"/>
        <w:jc w:val="center"/>
        <w:spacing w:after="0" w:line="317" w:lineRule="exact"/>
        <w:widowControl w:val="off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Основные изменения зако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н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одательства, произошедшие в 2024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году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r>
    </w:p>
    <w:p>
      <w:pPr>
        <w:ind w:firstLine="600"/>
        <w:jc w:val="center"/>
        <w:spacing w:after="0" w:line="317" w:lineRule="exact"/>
        <w:widowControl w:val="off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r>
    </w:p>
    <w:p>
      <w:pPr>
        <w:pStyle w:val="887"/>
        <w:numPr>
          <w:ilvl w:val="0"/>
          <w:numId w:val="11"/>
        </w:numPr>
        <w:ind w:left="0" w:right="0" w:firstLine="949"/>
        <w:jc w:val="both"/>
        <w:spacing w:after="0" w:line="317" w:lineRule="exact"/>
        <w:widowControl w:val="off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Федеральным законом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от 08.08.2024 № 266-ФЗ «О внесении изменений в Федеральный закон «Об участии в долевом строительстве многоквартирных домов и иных объектов недвижимости о внесении изменений в некоторые законодательные акты Российской Федерации» внесены следующие изменения: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pStyle w:val="723"/>
        <w:ind w:left="0" w:right="0" w:firstLine="99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часть 9 статьи 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дополнена предложением следующего содержания: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723"/>
        <w:ind w:left="0" w:right="0" w:firstLine="99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«При этом настоящим Федеральным законом устанавливается исчерпывающий перечень применяемых к застройщику мер гражданско-правовой ответственности (в том числе неустоек (штрафов, пеней), процентов), связанных с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заключением, исполнением, изменением и (или) прекращением договора.»;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723"/>
        <w:ind w:left="0" w:right="0" w:firstLine="992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статья 7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723"/>
        <w:ind w:left="0" w:right="0" w:firstLine="99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части 5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слова «пять лет» заменена словами «три года»;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723"/>
        <w:ind w:left="0" w:right="0" w:firstLine="99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часть 8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изложена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723"/>
        <w:ind w:left="0" w:right="0" w:firstLine="992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«8. За нарушение срока устранения недостатков (дефектов) объекта долевого строительства, предусмотренного частью 6 настоящей статьи, за нарушения сроков исполнения требования о соразмерном уменьшении цены договора, требования о возмещении расходов участник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 долевого строительства на устранение недостатков (дефектов) застройщик уплачивает участнику долевого строительства за каждый день просрочки неустойку (пеню) в размере одной трехсотой ставки рефинансирования Центрального банка Российской Федерации, действ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овавшей в период соответствующего нарушения, от стоимости расходов, необходимых для устранения недостатков (дефектов), или от суммы, подлежащей возмещению участнику долевого строительства. Если участником долевого строительства является гражданин, приобрет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ающий жилое помещение исключительно для личных, семейных, домашних и иных нужд, не связанных с осуществлением предпринимательской деятельности, предусмотренная настоящей частью неустойка (пеня) уплачивается застройщиком в двойном размере, но не более стоим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ости расходов, необходимых для устранения недостатков (дефектов). Если недостаток (дефект) объекта долевого строительства (жилого помещения) является основанием для признания такого объекта долевого строительства (жилого помещения) непригодным для проживан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ия, размер неустойки (пени), предусмотренной настоящей частью, рассчитывается от цены договора.»;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ind w:left="0" w:right="0" w:firstLine="992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статья 10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изложена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ind w:left="0" w:right="0" w:firstLine="992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«Статья 10. Ответственность за нарушение обязательств по договору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ind w:left="0" w:right="0" w:firstLine="992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 В случае неисполнения или ненадлежащего исполнения обязательств по договору сторона, не исполнившая своих обязательств или ненадлежаще исполнившая свои обязательства, обязана уплатить другой стороне предусмотренные настоящим Федеральным законом и догово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ром неустойки (штрафы, пени), проценты и возместить в полном объеме причиненные убытки сверх таких неустоек (штрафов, пеней), процентов. Со стороны договора, не исполнившей своих обязательств по договору или ненадлежаще исполнившей свои обязательства по до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говору, не могут быть взысканы неустойки (штрафы, пени), проценты, не предусмотренные настоящим Федеральным законом и договором.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ind w:left="0" w:right="0" w:firstLine="992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 Моральный вред, причиненный гражданину - участнику долевого строительства, заключившему договор исключительно для личных, семейных, домашних и иных нужд, не связанных с осуществлением предпринимательской деятельности, вследствие нарушения застройщиком 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рав гражданина - участника долевого строительства, предусмотренных настоящим Федеральным законом и договором, подлежит компенсации застройщиком при наличии его вины. Размер компенсации морального вреда определяется судом и не зависит от размера возмещения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имущественного вреда. Компенсация морального вреда осуществляется независимо от возмещения имущественного вреда и понесенных гражданином - участником долевого строительства убытков.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ind w:left="0" w:right="0" w:firstLine="992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 При удовлетворении судом требований гражданина - участника долевого строительства, заключившего договор исключительно для личных, семейных, домашних и иных нужд, не связанных с осуществлением предпринимательской деятельности, суд в дополнение к присужде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нной в пользу гражданина - участника долевого строительства сумме взыскивает с застройщика в пользу гражданина - участника долевого строительства штраф в размере пяти процентов от присужденной судом суммы, если данные требования не были удовлетворены застр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ойщиком в добровольном порядке.».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ind w:left="0" w:right="0" w:firstLine="992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 определении размера неустоек (штрафов, пеней), подлежащих начислению за период со дня вступления в силу настоящего Федерального закона за неисполнение или ненадлежащее исполнение обязательств (в том числе за нарушения сроков исполнения обязательств) по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договорам участия в долевом строительстве, заключенным до дня вступления в силу настоящего Федерального закона, применяются положения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части 9 статьи 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части 8 статьи 7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статьи 10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Федерального закона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(в редакции настоящего Федерального 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акона).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ind w:left="0" w:right="0" w:firstLine="56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Настоящий Федеральный закон вступает в силу с 1 сентября 2024 года.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pStyle w:val="723"/>
        <w:ind w:left="0" w:right="0" w:firstLine="56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pStyle w:val="887"/>
        <w:numPr>
          <w:ilvl w:val="0"/>
          <w:numId w:val="12"/>
        </w:numPr>
        <w:ind w:left="0" w:right="0" w:firstLine="567"/>
        <w:jc w:val="both"/>
        <w:spacing w:after="0" w:line="317" w:lineRule="exact"/>
        <w:widowControl w:val="off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Федеральным законом от 26.12.2024 № 482-ФЗ «О внесении изменений  в отдельные законодательные акты Российской Федерации» внесены следующие изменения: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0" w:right="0" w:firstLine="567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статья 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дополнена частью 4.7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ind w:left="0" w:right="0" w:firstLine="567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«4.7. Договор может предусматривать условие о соответствии результата производства отделочных работ на объекте долевого строительства и входящих в состав такого объекта долевого строительства элементов отделки стандарту организации, зарегистрированному в Ф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едеральном информационном фонде стандартов в порядке, установленном законодательством Российской Федерации о стандартизации (далее - стандарт застройщика). При этом требования, предъявляемые к результату производства отделочных работ на объекте долевого ст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роительства и входящих в состав такого объекта долевого строительства элементов отделки в стандарте застройщика, не могут быть ниже минимальных требований к результату производства отделочных работ на объекте долевого строительства и входящих в состав тако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 объекта долевого строительства элементов отделки, утвержденных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 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градостроительства. В указанном случае стандарт застройщика является неотъемлемой частью договора.»;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ind w:left="0" w:right="0" w:firstLine="567"/>
        <w:rPr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статья 7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723"/>
        <w:ind w:left="0" w:right="0" w:firstLine="567"/>
        <w:rPr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а)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части 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слова «технических регламентов,» исключены;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723"/>
        <w:ind w:left="0" w:right="0" w:firstLine="567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дополнена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ч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астью 1.2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ind w:left="0" w:right="0" w:firstLine="567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«1.2. Если в отношении объекта долевого строительства заключен договор, включающий условия, предусмотренные частью 4.7 статьи 4 настоящего Федерального закона, соответствие требованиям к результату производства отделочных работ на объекте долевого строител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ьства и входящих в состав такого объекта долевого строительства элементов отделки подтверждается стандартом застройщика.»;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ind w:left="0" w:right="0" w:firstLine="567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в)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части 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первое предложение после слов «такого объекта долевого строительства» дополнена словами », а также результата производства отделочных работ на объекте долевого строительства и входящих в состав такого объекта долевого строительства элементов отделки»;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ind w:left="0" w:right="0" w:firstLine="567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дополнена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частью 5.2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«5.2. Гарантийный срок на результат производства отделочных работ на объекте долевого строительства и входящих в состав такого объекта долевого строительства элементов отделки устанавливается договором и не может составлять менее чем один год. Указанный га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рантийный срок исчисляется со дня передачи объекта долевого строительства участнику долевого строительства.»;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ind w:left="0" w:right="0" w:firstLine="567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Статья 10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дополнена частью 4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«4. При удовлетворении судом требований участника долевого строительства в связи с нарушением застройщиком требований к результату производства отделочных работ, работ по установке оконных и дверных блоков, сантехнического оборудования и входящих в состав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такого объекта долевого строительства элементов отделки, изделий и оборудования соответственно, в том числе при удовлетворении требований о соразмерном уменьшении цены договора, возмещении расходов участника долевого строительства на устранение недостатков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об уплате неустойки (штрафов, пеней), процентов и о возмещении убытков, общая сумма, подлежащая взысканию с застройщика, не может превышать три процента от цены договора, если уплата денежных средств в большем размере не предусмотрена договором. Положени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я настоящей части не применяются при определении размера неустоек (пеней), предусмотренных частями 2 и 2.1 статьи 6 настоящего Федерального закона, а также не распространяются на денежные средства, уплаченные участником долевого строительства в счет цены 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оговора и подлежащие возврату в случае расторжения договора по основаниям, предусмотренным настоящим Федеральным законом.».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72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87"/>
        <w:numPr>
          <w:ilvl w:val="0"/>
          <w:numId w:val="13"/>
        </w:numPr>
        <w:ind w:left="0" w:right="0" w:firstLine="949"/>
        <w:jc w:val="both"/>
        <w:spacing w:after="0" w:line="317" w:lineRule="exact"/>
        <w:widowControl w:val="off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Федеральным законом от 08.08.2024 № 282-ФЗ «О внесении изменений в Федеральный закон «О несостоятельности (банкротстве)» и отдельные законодательные акты Российской Федерации» внесены следующие изменения: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Статья 21.1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Фед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ерального закона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дополнена частью 12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«12. На денежные средства, полученные Фондом субъекта Российской Федерации из бюджета субъекта Российской Федерации, а также предоставленные ему Фондом в соответствии с частью 3 настоящей статьи или в виде целевых кредитов (целевых займов), не может быть 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бращено взыскание по обязательствам, возникшим у Фонда субъекта Российской Федерации перед кредиторами застройщика, не являвшимися участниками строительства, в связи с передачей прав застройщика на земельный участок с находящимися на нем объектом (объектам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и) незавершенного строительства, неотделимыми улучшениями и обязательств застройщика в соответствии со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статьей 201.15-1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Федерального закона от 26 октября 2002 года № 127-ФЗ «О несостоятельности (банкротстве)» без соблюдения условия, предусмотренного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пунктом 6 статьи 201.10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указанного Федерального закона. Положение настоящей части не применяется в случае, если такие денежные средства в соответствии с условиями их получения и предоставления должны быть использованы Фондом субъекта Российской Федерации в целях 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сполнения указа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нных обязательств.».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168" w:after="0" w:line="288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87"/>
        <w:numPr>
          <w:ilvl w:val="0"/>
          <w:numId w:val="14"/>
        </w:numPr>
        <w:ind w:left="0" w:right="0" w:firstLine="850"/>
        <w:jc w:val="both"/>
        <w:spacing w:after="0" w:line="317" w:lineRule="exact"/>
        <w:widowControl w:val="off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lang w:eastAsia="ru-RU" w:bidi="ru-RU"/>
        </w:rPr>
        <w:t xml:space="preserve">Постановлением Правительства Рос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lang w:eastAsia="ru-RU" w:bidi="ru-RU"/>
        </w:rPr>
        <w:t xml:space="preserve">сийской Федерации от 26.12.2024    № 1917 «О внесении изменения в постановление Правительства Российской Федерации от 29 декабря 2023 № 2380» до 31 декабря 2025 продлены особенности передачи объекта долевого строительства участнику долевого строительства.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</w:p>
    <w:p>
      <w:pPr>
        <w:pStyle w:val="887"/>
        <w:ind w:left="0" w:firstLine="567"/>
        <w:jc w:val="both"/>
        <w:spacing w:after="0" w:line="228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Профилактика нарушений </w:t>
      </w:r>
      <w:r>
        <w:rPr>
          <w:rFonts w:ascii="Times New Roman" w:hAnsi="Times New Roman"/>
          <w:b/>
          <w:sz w:val="28"/>
          <w:szCs w:val="28"/>
        </w:rPr>
        <w:t xml:space="preserve">обязательных требований</w:t>
      </w:r>
      <w:r>
        <w:rPr>
          <w:rFonts w:ascii="Times New Roman" w:hAnsi="Times New Roman"/>
          <w:b/>
          <w:sz w:val="28"/>
          <w:szCs w:val="28"/>
        </w:rPr>
        <w:t xml:space="preserve">,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анализ состояния подконтрольной среды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96"/>
        <w:ind w:firstLine="567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Целью профилактической работы является предупреждение нарушений </w:t>
      </w:r>
      <w:r>
        <w:rPr>
          <w:sz w:val="28"/>
          <w:szCs w:val="28"/>
        </w:rPr>
        <w:t xml:space="preserve">контролируемыми лицами обязательных требований</w:t>
      </w:r>
      <w:r>
        <w:rPr>
          <w:sz w:val="28"/>
          <w:szCs w:val="28"/>
        </w:rPr>
        <w:t xml:space="preserve">, устранение причин, факторов и условий, способствующих нарушениям </w:t>
      </w:r>
      <w:r>
        <w:rPr>
          <w:sz w:val="28"/>
          <w:szCs w:val="28"/>
        </w:rPr>
        <w:t xml:space="preserve">обязательных </w:t>
      </w:r>
      <w:r>
        <w:rPr>
          <w:sz w:val="28"/>
          <w:szCs w:val="28"/>
        </w:rPr>
        <w:t xml:space="preserve">требований; </w:t>
      </w:r>
      <w:r>
        <w:rPr>
          <w:sz w:val="28"/>
          <w:szCs w:val="28"/>
        </w:rPr>
        <w:t xml:space="preserve">повышение прозрачности системы государственного контроля (надзора) и эффективности осуществления контрольно-надзорной деятельности Управления по надзору УР.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профилактики нарушений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обязательных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требований в 2024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году проведена следующая работа.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официальном сайте в информационно-телекоммуникаци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онной сети «Интернет» Управлением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надзору УР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размещены перечни нормативных правовых актов, содержащих обязательные требования, соблюдение которых оценивается при осуществлении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государственного контроля (надзора</w:t>
      </w:r>
      <w:r>
        <w:rPr>
          <w:rFonts w:ascii="Times New Roman" w:hAnsi="Times New Roman" w:cs="Times New Roman"/>
          <w:sz w:val="28"/>
          <w:szCs w:val="28"/>
        </w:rPr>
        <w:t xml:space="preserve">) в области долевого строительства многоквартирных домов и (или) иных объектов недвижимости на терри</w:t>
      </w:r>
      <w:r>
        <w:rPr>
          <w:rFonts w:ascii="Times New Roman" w:hAnsi="Times New Roman" w:cs="Times New Roman"/>
          <w:sz w:val="28"/>
          <w:szCs w:val="28"/>
        </w:rPr>
        <w:t xml:space="preserve">тории Удмуртской Республики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а также тексты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данных правовых актов. Перечни нормативных правовых актов и тексты этих актов поддерживаются в актуальном состоянии.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Были 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роведены публичные обсуждения итогов правоприменительной практики.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Проведено 122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консультирований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контролируемых лиц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их уполномоченных представителей по следующим вопросам: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7"/>
        <w:numPr>
          <w:ilvl w:val="0"/>
          <w:numId w:val="8"/>
        </w:num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организация и осуществление государственного контроля надзора;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7"/>
        <w:numPr>
          <w:ilvl w:val="0"/>
          <w:numId w:val="8"/>
        </w:num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порядок подачи возражений на предостережение о недопустимости  обязательных требований;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7"/>
        <w:numPr>
          <w:ilvl w:val="0"/>
          <w:numId w:val="8"/>
        </w:num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порядок обжалования решений Управления по на</w:t>
      </w:r>
      <w:r>
        <w:rPr>
          <w:rFonts w:ascii="Times New Roman" w:hAnsi="Times New Roman"/>
          <w:sz w:val="28"/>
          <w:szCs w:val="28"/>
          <w:lang w:eastAsia="ru-RU"/>
        </w:rPr>
        <w:t xml:space="preserve">д</w:t>
      </w:r>
      <w:r>
        <w:rPr>
          <w:rFonts w:ascii="Times New Roman" w:hAnsi="Times New Roman"/>
          <w:sz w:val="28"/>
          <w:szCs w:val="28"/>
          <w:lang w:eastAsia="ru-RU"/>
        </w:rPr>
        <w:t xml:space="preserve">зору УР</w:t>
      </w:r>
      <w:r>
        <w:rPr>
          <w:rFonts w:ascii="Times New Roman" w:hAnsi="Times New Roman"/>
          <w:sz w:val="28"/>
          <w:szCs w:val="28"/>
          <w:lang w:eastAsia="ru-RU"/>
        </w:rPr>
        <w:t xml:space="preserve">, действий (бездействия)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должностных лиц Управления по надзору УР.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7"/>
        <w:ind w:left="0"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Проведено 20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профилактических визитов в отношении контролируемых лиц, приступающих к осуществлению деятельности, относящейся к объекту государственного контроля (надзора), не позднее чем в течение одного года с момента начала осуществления такой деятельности.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-1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2024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году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рамках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государственного контроля (надзора</w:t>
      </w:r>
      <w:r>
        <w:rPr>
          <w:rFonts w:ascii="Times New Roman" w:hAnsi="Times New Roman" w:cs="Times New Roman"/>
          <w:sz w:val="28"/>
          <w:szCs w:val="28"/>
        </w:rPr>
        <w:t xml:space="preserve">) в области долевого строительства многоквартирных домов и (или) иных объектов недвижимости на терри</w:t>
      </w:r>
      <w:r>
        <w:rPr>
          <w:rFonts w:ascii="Times New Roman" w:hAnsi="Times New Roman" w:cs="Times New Roman"/>
          <w:sz w:val="28"/>
          <w:szCs w:val="28"/>
        </w:rPr>
        <w:t xml:space="preserve">тории Удмуртской Республики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в целях профилактики нарушений обязательных  требований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выдано 45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предостережений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недопустимости нарушений обязательных требований законодательства о долевом строительстве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Управление по надзору УР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продолжит профилактическую работу, с целью повышения уровня информированности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контролируемых лиц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вопросам соблюдения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обязательных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требований, обеспечения доступности сведений о применении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обязательных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треб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ований,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обеспечения единообразия понимания предмета контроля </w:t>
      </w:r>
      <w:r>
        <w:rPr>
          <w:rFonts w:ascii="Times New Roman" w:hAnsi="Times New Roman" w:eastAsia="Calibri" w:cs="Times New Roman"/>
          <w:sz w:val="28"/>
          <w:szCs w:val="28"/>
        </w:rPr>
        <w:t xml:space="preserve">контролируемых лиц</w:t>
      </w:r>
      <w:r>
        <w:rPr>
          <w:rFonts w:ascii="Times New Roman" w:hAnsi="Times New Roman" w:eastAsia="Calibri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мотивации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контролируемых лиц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 добросовестному поведению и сознательному соблюдению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обязательных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567" w:bottom="1134" w:left="1134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604020202020204"/>
  </w:font>
  <w:font w:name="Calibri Light">
    <w:panose1 w:val="020F050202020403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632029551"/>
      <w:docPartObj>
        <w:docPartGallery w:val="Page Numbers (Bottom of Page)"/>
        <w:docPartUnique w:val="true"/>
      </w:docPartObj>
      <w:rPr/>
    </w:sdtPr>
    <w:sdtContent>
      <w:p>
        <w:pPr>
          <w:pStyle w:val="89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6</w:t>
        </w:r>
        <w:r>
          <w:fldChar w:fldCharType="end"/>
        </w:r>
        <w:r/>
      </w:p>
    </w:sdtContent>
  </w:sdt>
  <w:p>
    <w:pPr>
      <w:pStyle w:val="89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765" w:hanging="94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95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57" w:hanging="129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3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9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6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6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3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3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9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6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69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3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9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6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69" w:hanging="360"/>
      </w:pPr>
      <w:rPr>
        <w:rFonts w:hint="default" w:ascii="Wingdings" w:hAnsi="Wingdings" w:eastAsia="Wingdings" w:cs="Wingdings"/>
      </w:r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>
    <w:name w:val="Heading 1"/>
    <w:basedOn w:val="879"/>
    <w:next w:val="879"/>
    <w:link w:val="70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7">
    <w:name w:val="Heading 1 Char"/>
    <w:basedOn w:val="881"/>
    <w:link w:val="706"/>
    <w:uiPriority w:val="9"/>
    <w:rPr>
      <w:rFonts w:ascii="Arial" w:hAnsi="Arial" w:eastAsia="Arial" w:cs="Arial"/>
      <w:sz w:val="40"/>
      <w:szCs w:val="40"/>
    </w:rPr>
  </w:style>
  <w:style w:type="character" w:styleId="708">
    <w:name w:val="Heading 2 Char"/>
    <w:basedOn w:val="881"/>
    <w:link w:val="880"/>
    <w:uiPriority w:val="9"/>
    <w:rPr>
      <w:rFonts w:ascii="Arial" w:hAnsi="Arial" w:eastAsia="Arial" w:cs="Arial"/>
      <w:sz w:val="34"/>
    </w:rPr>
  </w:style>
  <w:style w:type="paragraph" w:styleId="709">
    <w:name w:val="Heading 3"/>
    <w:basedOn w:val="879"/>
    <w:next w:val="879"/>
    <w:link w:val="71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0">
    <w:name w:val="Heading 3 Char"/>
    <w:basedOn w:val="881"/>
    <w:link w:val="709"/>
    <w:uiPriority w:val="9"/>
    <w:rPr>
      <w:rFonts w:ascii="Arial" w:hAnsi="Arial" w:eastAsia="Arial" w:cs="Arial"/>
      <w:sz w:val="30"/>
      <w:szCs w:val="30"/>
    </w:rPr>
  </w:style>
  <w:style w:type="paragraph" w:styleId="711">
    <w:name w:val="Heading 4"/>
    <w:basedOn w:val="879"/>
    <w:next w:val="879"/>
    <w:link w:val="71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2">
    <w:name w:val="Heading 4 Char"/>
    <w:basedOn w:val="881"/>
    <w:link w:val="711"/>
    <w:uiPriority w:val="9"/>
    <w:rPr>
      <w:rFonts w:ascii="Arial" w:hAnsi="Arial" w:eastAsia="Arial" w:cs="Arial"/>
      <w:b/>
      <w:bCs/>
      <w:sz w:val="26"/>
      <w:szCs w:val="26"/>
    </w:rPr>
  </w:style>
  <w:style w:type="paragraph" w:styleId="713">
    <w:name w:val="Heading 5"/>
    <w:basedOn w:val="879"/>
    <w:next w:val="879"/>
    <w:link w:val="71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4">
    <w:name w:val="Heading 5 Char"/>
    <w:basedOn w:val="881"/>
    <w:link w:val="713"/>
    <w:uiPriority w:val="9"/>
    <w:rPr>
      <w:rFonts w:ascii="Arial" w:hAnsi="Arial" w:eastAsia="Arial" w:cs="Arial"/>
      <w:b/>
      <w:bCs/>
      <w:sz w:val="24"/>
      <w:szCs w:val="24"/>
    </w:rPr>
  </w:style>
  <w:style w:type="paragraph" w:styleId="715">
    <w:name w:val="Heading 6"/>
    <w:basedOn w:val="879"/>
    <w:next w:val="879"/>
    <w:link w:val="71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6">
    <w:name w:val="Heading 6 Char"/>
    <w:basedOn w:val="881"/>
    <w:link w:val="715"/>
    <w:uiPriority w:val="9"/>
    <w:rPr>
      <w:rFonts w:ascii="Arial" w:hAnsi="Arial" w:eastAsia="Arial" w:cs="Arial"/>
      <w:b/>
      <w:bCs/>
      <w:sz w:val="22"/>
      <w:szCs w:val="22"/>
    </w:rPr>
  </w:style>
  <w:style w:type="paragraph" w:styleId="717">
    <w:name w:val="Heading 7"/>
    <w:basedOn w:val="879"/>
    <w:next w:val="879"/>
    <w:link w:val="71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8">
    <w:name w:val="Heading 7 Char"/>
    <w:basedOn w:val="881"/>
    <w:link w:val="7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9">
    <w:name w:val="Heading 8"/>
    <w:basedOn w:val="879"/>
    <w:next w:val="879"/>
    <w:link w:val="72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0">
    <w:name w:val="Heading 8 Char"/>
    <w:basedOn w:val="881"/>
    <w:link w:val="719"/>
    <w:uiPriority w:val="9"/>
    <w:rPr>
      <w:rFonts w:ascii="Arial" w:hAnsi="Arial" w:eastAsia="Arial" w:cs="Arial"/>
      <w:i/>
      <w:iCs/>
      <w:sz w:val="22"/>
      <w:szCs w:val="22"/>
    </w:rPr>
  </w:style>
  <w:style w:type="paragraph" w:styleId="721">
    <w:name w:val="Heading 9"/>
    <w:basedOn w:val="879"/>
    <w:next w:val="879"/>
    <w:link w:val="72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2">
    <w:name w:val="Heading 9 Char"/>
    <w:basedOn w:val="881"/>
    <w:link w:val="721"/>
    <w:uiPriority w:val="9"/>
    <w:rPr>
      <w:rFonts w:ascii="Arial" w:hAnsi="Arial" w:eastAsia="Arial" w:cs="Arial"/>
      <w:i/>
      <w:iCs/>
      <w:sz w:val="21"/>
      <w:szCs w:val="21"/>
    </w:rPr>
  </w:style>
  <w:style w:type="paragraph" w:styleId="723">
    <w:name w:val="No Spacing"/>
    <w:uiPriority w:val="1"/>
    <w:qFormat/>
    <w:pPr>
      <w:spacing w:before="0" w:after="0" w:line="240" w:lineRule="auto"/>
    </w:pPr>
  </w:style>
  <w:style w:type="paragraph" w:styleId="724">
    <w:name w:val="Title"/>
    <w:basedOn w:val="879"/>
    <w:next w:val="879"/>
    <w:link w:val="72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5">
    <w:name w:val="Title Char"/>
    <w:basedOn w:val="881"/>
    <w:link w:val="724"/>
    <w:uiPriority w:val="10"/>
    <w:rPr>
      <w:sz w:val="48"/>
      <w:szCs w:val="48"/>
    </w:rPr>
  </w:style>
  <w:style w:type="paragraph" w:styleId="726">
    <w:name w:val="Subtitle"/>
    <w:basedOn w:val="879"/>
    <w:next w:val="879"/>
    <w:link w:val="727"/>
    <w:uiPriority w:val="11"/>
    <w:qFormat/>
    <w:pPr>
      <w:spacing w:before="200" w:after="200"/>
    </w:pPr>
    <w:rPr>
      <w:sz w:val="24"/>
      <w:szCs w:val="24"/>
    </w:rPr>
  </w:style>
  <w:style w:type="character" w:styleId="727">
    <w:name w:val="Subtitle Char"/>
    <w:basedOn w:val="881"/>
    <w:link w:val="726"/>
    <w:uiPriority w:val="11"/>
    <w:rPr>
      <w:sz w:val="24"/>
      <w:szCs w:val="24"/>
    </w:rPr>
  </w:style>
  <w:style w:type="paragraph" w:styleId="728">
    <w:name w:val="Quote"/>
    <w:basedOn w:val="879"/>
    <w:next w:val="879"/>
    <w:link w:val="729"/>
    <w:uiPriority w:val="29"/>
    <w:qFormat/>
    <w:pPr>
      <w:ind w:left="720" w:right="720"/>
    </w:pPr>
    <w:rPr>
      <w:i/>
    </w:rPr>
  </w:style>
  <w:style w:type="character" w:styleId="729">
    <w:name w:val="Quote Char"/>
    <w:link w:val="728"/>
    <w:uiPriority w:val="29"/>
    <w:rPr>
      <w:i/>
    </w:rPr>
  </w:style>
  <w:style w:type="paragraph" w:styleId="730">
    <w:name w:val="Intense Quote"/>
    <w:basedOn w:val="879"/>
    <w:next w:val="879"/>
    <w:link w:val="73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>
    <w:name w:val="Intense Quote Char"/>
    <w:link w:val="730"/>
    <w:uiPriority w:val="30"/>
    <w:rPr>
      <w:i/>
    </w:rPr>
  </w:style>
  <w:style w:type="character" w:styleId="732">
    <w:name w:val="Header Char"/>
    <w:basedOn w:val="881"/>
    <w:link w:val="888"/>
    <w:uiPriority w:val="99"/>
  </w:style>
  <w:style w:type="character" w:styleId="733">
    <w:name w:val="Footer Char"/>
    <w:basedOn w:val="881"/>
    <w:link w:val="890"/>
    <w:uiPriority w:val="99"/>
  </w:style>
  <w:style w:type="paragraph" w:styleId="734">
    <w:name w:val="Caption"/>
    <w:basedOn w:val="879"/>
    <w:next w:val="879"/>
    <w:link w:val="7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5">
    <w:name w:val="Caption Char"/>
    <w:basedOn w:val="881"/>
    <w:link w:val="734"/>
    <w:uiPriority w:val="35"/>
    <w:rPr>
      <w:b/>
      <w:bCs/>
      <w:color w:val="4f81bd" w:themeColor="accent1"/>
      <w:sz w:val="18"/>
      <w:szCs w:val="18"/>
    </w:rPr>
  </w:style>
  <w:style w:type="table" w:styleId="736">
    <w:name w:val="Table Grid Light"/>
    <w:basedOn w:val="8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Plain Table 1"/>
    <w:basedOn w:val="8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2"/>
    <w:basedOn w:val="88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0">
    <w:name w:val="Plain Table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Plain Table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2">
    <w:name w:val="Grid Table 1 Light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4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4">
    <w:name w:val="Grid Table 4 - Accent 1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5">
    <w:name w:val="Grid Table 4 - Accent 2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6">
    <w:name w:val="Grid Table 4 - Accent 3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7">
    <w:name w:val="Grid Table 4 - Accent 4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8">
    <w:name w:val="Grid Table 4 - Accent 5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9">
    <w:name w:val="Grid Table 4 - Accent 6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0">
    <w:name w:val="Grid Table 5 Dark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7">
    <w:name w:val="Grid Table 6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8">
    <w:name w:val="Grid Table 6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9">
    <w:name w:val="Grid Table 6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0">
    <w:name w:val="Grid Table 6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1">
    <w:name w:val="Grid Table 6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2">
    <w:name w:val="Grid Table 6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3">
    <w:name w:val="Grid Table 6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7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9">
    <w:name w:val="List Table 2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0">
    <w:name w:val="List Table 2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1">
    <w:name w:val="List Table 2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2">
    <w:name w:val="List Table 2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3">
    <w:name w:val="List Table 2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4">
    <w:name w:val="List Table 2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5">
    <w:name w:val="List Table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5 Dark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6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7">
    <w:name w:val="List Table 6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8">
    <w:name w:val="List Table 6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9">
    <w:name w:val="List Table 6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0">
    <w:name w:val="List Table 6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1">
    <w:name w:val="List Table 6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2">
    <w:name w:val="List Table 6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3">
    <w:name w:val="List Table 7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4">
    <w:name w:val="List Table 7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5">
    <w:name w:val="List Table 7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6">
    <w:name w:val="List Table 7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7">
    <w:name w:val="List Table 7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8">
    <w:name w:val="List Table 7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9">
    <w:name w:val="List Table 7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0">
    <w:name w:val="Lined - Accent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Lined - Accent 1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Lined - Accent 2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Lined - Accent 3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Lined - Accent 4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Lined - Accent 5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Lined - Accent 6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 &amp; Lined - Accent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8">
    <w:name w:val="Bordered &amp; Lined - Accent 1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9">
    <w:name w:val="Bordered &amp; Lined - Accent 2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0">
    <w:name w:val="Bordered &amp; Lined - Accent 3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1">
    <w:name w:val="Bordered &amp; Lined - Accent 4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2">
    <w:name w:val="Bordered &amp; Lined - Accent 5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3">
    <w:name w:val="Bordered &amp; Lined - Accent 6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4">
    <w:name w:val="Bordered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5">
    <w:name w:val="Bordered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6">
    <w:name w:val="Bordered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7">
    <w:name w:val="Bordered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8">
    <w:name w:val="Bordered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9">
    <w:name w:val="Bordered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0">
    <w:name w:val="Bordered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1">
    <w:name w:val="Hyperlink"/>
    <w:uiPriority w:val="99"/>
    <w:unhideWhenUsed/>
    <w:rPr>
      <w:color w:val="0000ff" w:themeColor="hyperlink"/>
      <w:u w:val="single"/>
    </w:rPr>
  </w:style>
  <w:style w:type="paragraph" w:styleId="862">
    <w:name w:val="footnote text"/>
    <w:basedOn w:val="879"/>
    <w:link w:val="863"/>
    <w:uiPriority w:val="99"/>
    <w:semiHidden/>
    <w:unhideWhenUsed/>
    <w:pPr>
      <w:spacing w:after="40" w:line="240" w:lineRule="auto"/>
    </w:pPr>
    <w:rPr>
      <w:sz w:val="18"/>
    </w:rPr>
  </w:style>
  <w:style w:type="character" w:styleId="863">
    <w:name w:val="Footnote Text Char"/>
    <w:link w:val="862"/>
    <w:uiPriority w:val="99"/>
    <w:rPr>
      <w:sz w:val="18"/>
    </w:rPr>
  </w:style>
  <w:style w:type="character" w:styleId="864">
    <w:name w:val="footnote reference"/>
    <w:basedOn w:val="881"/>
    <w:uiPriority w:val="99"/>
    <w:unhideWhenUsed/>
    <w:rPr>
      <w:vertAlign w:val="superscript"/>
    </w:rPr>
  </w:style>
  <w:style w:type="paragraph" w:styleId="865">
    <w:name w:val="endnote text"/>
    <w:basedOn w:val="879"/>
    <w:link w:val="866"/>
    <w:uiPriority w:val="99"/>
    <w:semiHidden/>
    <w:unhideWhenUsed/>
    <w:pPr>
      <w:spacing w:after="0" w:line="240" w:lineRule="auto"/>
    </w:pPr>
    <w:rPr>
      <w:sz w:val="20"/>
    </w:rPr>
  </w:style>
  <w:style w:type="character" w:styleId="866">
    <w:name w:val="Endnote Text Char"/>
    <w:link w:val="865"/>
    <w:uiPriority w:val="99"/>
    <w:rPr>
      <w:sz w:val="20"/>
    </w:rPr>
  </w:style>
  <w:style w:type="character" w:styleId="867">
    <w:name w:val="endnote reference"/>
    <w:basedOn w:val="881"/>
    <w:uiPriority w:val="99"/>
    <w:semiHidden/>
    <w:unhideWhenUsed/>
    <w:rPr>
      <w:vertAlign w:val="superscript"/>
    </w:rPr>
  </w:style>
  <w:style w:type="paragraph" w:styleId="868">
    <w:name w:val="toc 1"/>
    <w:basedOn w:val="879"/>
    <w:next w:val="879"/>
    <w:uiPriority w:val="39"/>
    <w:unhideWhenUsed/>
    <w:pPr>
      <w:ind w:left="0" w:right="0" w:firstLine="0"/>
      <w:spacing w:after="57"/>
    </w:pPr>
  </w:style>
  <w:style w:type="paragraph" w:styleId="869">
    <w:name w:val="toc 2"/>
    <w:basedOn w:val="879"/>
    <w:next w:val="879"/>
    <w:uiPriority w:val="39"/>
    <w:unhideWhenUsed/>
    <w:pPr>
      <w:ind w:left="283" w:right="0" w:firstLine="0"/>
      <w:spacing w:after="57"/>
    </w:pPr>
  </w:style>
  <w:style w:type="paragraph" w:styleId="870">
    <w:name w:val="toc 3"/>
    <w:basedOn w:val="879"/>
    <w:next w:val="879"/>
    <w:uiPriority w:val="39"/>
    <w:unhideWhenUsed/>
    <w:pPr>
      <w:ind w:left="567" w:right="0" w:firstLine="0"/>
      <w:spacing w:after="57"/>
    </w:pPr>
  </w:style>
  <w:style w:type="paragraph" w:styleId="871">
    <w:name w:val="toc 4"/>
    <w:basedOn w:val="879"/>
    <w:next w:val="879"/>
    <w:uiPriority w:val="39"/>
    <w:unhideWhenUsed/>
    <w:pPr>
      <w:ind w:left="850" w:right="0" w:firstLine="0"/>
      <w:spacing w:after="57"/>
    </w:pPr>
  </w:style>
  <w:style w:type="paragraph" w:styleId="872">
    <w:name w:val="toc 5"/>
    <w:basedOn w:val="879"/>
    <w:next w:val="879"/>
    <w:uiPriority w:val="39"/>
    <w:unhideWhenUsed/>
    <w:pPr>
      <w:ind w:left="1134" w:right="0" w:firstLine="0"/>
      <w:spacing w:after="57"/>
    </w:pPr>
  </w:style>
  <w:style w:type="paragraph" w:styleId="873">
    <w:name w:val="toc 6"/>
    <w:basedOn w:val="879"/>
    <w:next w:val="879"/>
    <w:uiPriority w:val="39"/>
    <w:unhideWhenUsed/>
    <w:pPr>
      <w:ind w:left="1417" w:right="0" w:firstLine="0"/>
      <w:spacing w:after="57"/>
    </w:pPr>
  </w:style>
  <w:style w:type="paragraph" w:styleId="874">
    <w:name w:val="toc 7"/>
    <w:basedOn w:val="879"/>
    <w:next w:val="879"/>
    <w:uiPriority w:val="39"/>
    <w:unhideWhenUsed/>
    <w:pPr>
      <w:ind w:left="1701" w:right="0" w:firstLine="0"/>
      <w:spacing w:after="57"/>
    </w:pPr>
  </w:style>
  <w:style w:type="paragraph" w:styleId="875">
    <w:name w:val="toc 8"/>
    <w:basedOn w:val="879"/>
    <w:next w:val="879"/>
    <w:uiPriority w:val="39"/>
    <w:unhideWhenUsed/>
    <w:pPr>
      <w:ind w:left="1984" w:right="0" w:firstLine="0"/>
      <w:spacing w:after="57"/>
    </w:pPr>
  </w:style>
  <w:style w:type="paragraph" w:styleId="876">
    <w:name w:val="toc 9"/>
    <w:basedOn w:val="879"/>
    <w:next w:val="879"/>
    <w:uiPriority w:val="39"/>
    <w:unhideWhenUsed/>
    <w:pPr>
      <w:ind w:left="2268" w:right="0" w:firstLine="0"/>
      <w:spacing w:after="57"/>
    </w:pPr>
  </w:style>
  <w:style w:type="paragraph" w:styleId="877">
    <w:name w:val="TOC Heading"/>
    <w:uiPriority w:val="39"/>
    <w:unhideWhenUsed/>
  </w:style>
  <w:style w:type="paragraph" w:styleId="878">
    <w:name w:val="table of figures"/>
    <w:basedOn w:val="879"/>
    <w:next w:val="879"/>
    <w:uiPriority w:val="99"/>
    <w:unhideWhenUsed/>
    <w:pPr>
      <w:spacing w:after="0" w:afterAutospacing="0"/>
    </w:pPr>
  </w:style>
  <w:style w:type="paragraph" w:styleId="879" w:default="1">
    <w:name w:val="Normal"/>
    <w:qFormat/>
    <w:rPr>
      <w:rFonts w:ascii="Calibri" w:hAnsi="Calibri" w:eastAsia="Times New Roman" w:cs="Calibri"/>
    </w:rPr>
  </w:style>
  <w:style w:type="paragraph" w:styleId="880">
    <w:name w:val="Heading 2"/>
    <w:basedOn w:val="879"/>
    <w:next w:val="879"/>
    <w:link w:val="884"/>
    <w:unhideWhenUsed/>
    <w:qFormat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styleId="881" w:default="1">
    <w:name w:val="Default Paragraph Font"/>
    <w:uiPriority w:val="1"/>
    <w:semiHidden/>
    <w:unhideWhenUsed/>
  </w:style>
  <w:style w:type="table" w:styleId="8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3" w:default="1">
    <w:name w:val="No List"/>
    <w:uiPriority w:val="99"/>
    <w:semiHidden/>
    <w:unhideWhenUsed/>
  </w:style>
  <w:style w:type="character" w:styleId="884" w:customStyle="1">
    <w:name w:val="Заголовок 2 Знак"/>
    <w:basedOn w:val="881"/>
    <w:link w:val="880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paragraph" w:styleId="885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86">
    <w:name w:val="Normal (Web)"/>
    <w:basedOn w:val="879"/>
    <w:rPr>
      <w:rFonts w:ascii="Times New Roman" w:hAnsi="Times New Roman" w:cs="Times New Roman"/>
      <w:sz w:val="24"/>
      <w:szCs w:val="24"/>
    </w:rPr>
  </w:style>
  <w:style w:type="paragraph" w:styleId="887">
    <w:name w:val="List Paragraph"/>
    <w:basedOn w:val="879"/>
    <w:uiPriority w:val="34"/>
    <w:qFormat/>
    <w:pPr>
      <w:contextualSpacing/>
      <w:ind w:left="720"/>
    </w:pPr>
    <w:rPr>
      <w:rFonts w:eastAsia="Calibri" w:cs="Times New Roman"/>
    </w:rPr>
  </w:style>
  <w:style w:type="paragraph" w:styleId="888">
    <w:name w:val="Header"/>
    <w:basedOn w:val="879"/>
    <w:link w:val="88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9" w:customStyle="1">
    <w:name w:val="Верхний колонтитул Знак"/>
    <w:basedOn w:val="881"/>
    <w:link w:val="888"/>
    <w:uiPriority w:val="99"/>
    <w:rPr>
      <w:rFonts w:ascii="Calibri" w:hAnsi="Calibri" w:eastAsia="Times New Roman" w:cs="Calibri"/>
    </w:rPr>
  </w:style>
  <w:style w:type="paragraph" w:styleId="890">
    <w:name w:val="Footer"/>
    <w:basedOn w:val="879"/>
    <w:link w:val="89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1" w:customStyle="1">
    <w:name w:val="Нижний колонтитул Знак"/>
    <w:basedOn w:val="881"/>
    <w:link w:val="890"/>
    <w:uiPriority w:val="99"/>
    <w:rPr>
      <w:rFonts w:ascii="Calibri" w:hAnsi="Calibri" w:eastAsia="Times New Roman" w:cs="Calibri"/>
    </w:rPr>
  </w:style>
  <w:style w:type="paragraph" w:styleId="892">
    <w:name w:val="Balloon Text"/>
    <w:basedOn w:val="879"/>
    <w:link w:val="89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3" w:customStyle="1">
    <w:name w:val="Текст выноски Знак"/>
    <w:basedOn w:val="881"/>
    <w:link w:val="892"/>
    <w:uiPriority w:val="99"/>
    <w:semiHidden/>
    <w:rPr>
      <w:rFonts w:ascii="Tahoma" w:hAnsi="Tahoma" w:eastAsia="Times New Roman" w:cs="Tahoma"/>
      <w:sz w:val="16"/>
      <w:szCs w:val="16"/>
    </w:rPr>
  </w:style>
  <w:style w:type="table" w:styleId="894" w:customStyle="1">
    <w:name w:val="Сетка таблицы2"/>
    <w:basedOn w:val="882"/>
    <w:next w:val="895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95">
    <w:name w:val="Table Grid"/>
    <w:basedOn w:val="88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6" w:customStyle="1">
    <w:name w:val="rtecenter"/>
    <w:basedOn w:val="879"/>
    <w:pPr>
      <w:jc w:val="center"/>
      <w:spacing w:before="240" w:after="24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897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92168-1B32-4D56-A575-F3AB8703C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alsu</dc:creator>
  <cp:lastModifiedBy>Морозов Иван</cp:lastModifiedBy>
  <cp:revision>12</cp:revision>
  <dcterms:created xsi:type="dcterms:W3CDTF">2024-03-05T06:36:00Z</dcterms:created>
  <dcterms:modified xsi:type="dcterms:W3CDTF">2025-03-04T06:07:54Z</dcterms:modified>
</cp:coreProperties>
</file>